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25884A7"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2A520D">
        <w:rPr>
          <w:b/>
          <w:sz w:val="24"/>
          <w:szCs w:val="24"/>
        </w:rPr>
        <w:t>#9</w:t>
      </w:r>
      <w:r w:rsidR="00112AA0">
        <w:rPr>
          <w:b/>
          <w:sz w:val="24"/>
          <w:szCs w:val="24"/>
        </w:rPr>
        <w:t>7</w:t>
      </w:r>
      <w:r w:rsidRPr="0007631D">
        <w:rPr>
          <w:b/>
          <w:sz w:val="24"/>
          <w:szCs w:val="24"/>
        </w:rPr>
        <w:tab/>
      </w:r>
      <w:bookmarkStart w:id="0" w:name="_GoBack"/>
      <w:r w:rsidRPr="0007631D">
        <w:rPr>
          <w:b/>
          <w:sz w:val="24"/>
          <w:szCs w:val="24"/>
        </w:rPr>
        <w:t>R1-</w:t>
      </w:r>
      <w:r w:rsidR="00AA4A92">
        <w:rPr>
          <w:b/>
          <w:sz w:val="24"/>
          <w:szCs w:val="24"/>
        </w:rPr>
        <w:t>19</w:t>
      </w:r>
      <w:r w:rsidR="006733E3">
        <w:rPr>
          <w:b/>
          <w:sz w:val="24"/>
          <w:szCs w:val="24"/>
        </w:rPr>
        <w:t>07305</w:t>
      </w:r>
      <w:bookmarkEnd w:id="0"/>
    </w:p>
    <w:p w14:paraId="4405AC25" w14:textId="109450C0" w:rsidR="00433B47" w:rsidRPr="0007631D" w:rsidRDefault="00112AA0" w:rsidP="00433B47">
      <w:pPr>
        <w:tabs>
          <w:tab w:val="center" w:pos="4536"/>
          <w:tab w:val="right" w:pos="9072"/>
        </w:tabs>
        <w:spacing w:after="0"/>
        <w:rPr>
          <w:rFonts w:eastAsia="MS Mincho"/>
          <w:b/>
          <w:bCs/>
          <w:sz w:val="24"/>
          <w:szCs w:val="24"/>
          <w:lang w:eastAsia="ja-JP"/>
        </w:rPr>
      </w:pPr>
      <w:r>
        <w:rPr>
          <w:b/>
          <w:bCs/>
          <w:sz w:val="24"/>
          <w:szCs w:val="24"/>
        </w:rPr>
        <w:t>May</w:t>
      </w:r>
      <w:r w:rsidR="003F4789" w:rsidRPr="0007631D">
        <w:rPr>
          <w:b/>
          <w:bCs/>
          <w:sz w:val="24"/>
          <w:szCs w:val="24"/>
        </w:rPr>
        <w:t xml:space="preserve"> </w:t>
      </w:r>
      <w:r>
        <w:rPr>
          <w:b/>
          <w:bCs/>
          <w:sz w:val="24"/>
          <w:szCs w:val="24"/>
        </w:rPr>
        <w:t>13</w:t>
      </w:r>
      <w:r w:rsidR="002A520D">
        <w:rPr>
          <w:b/>
          <w:bCs/>
          <w:sz w:val="24"/>
          <w:szCs w:val="24"/>
          <w:vertAlign w:val="superscript"/>
        </w:rPr>
        <w:t>th</w:t>
      </w:r>
      <w:r w:rsidR="005925C1">
        <w:rPr>
          <w:b/>
          <w:bCs/>
          <w:sz w:val="24"/>
          <w:szCs w:val="24"/>
        </w:rPr>
        <w:t xml:space="preserve"> –</w:t>
      </w:r>
      <w:r w:rsidR="004118A8">
        <w:rPr>
          <w:b/>
          <w:bCs/>
          <w:sz w:val="24"/>
          <w:szCs w:val="24"/>
        </w:rPr>
        <w:t xml:space="preserve"> 1</w:t>
      </w:r>
      <w:r>
        <w:rPr>
          <w:b/>
          <w:bCs/>
          <w:sz w:val="24"/>
          <w:szCs w:val="24"/>
        </w:rPr>
        <w:t>7</w:t>
      </w:r>
      <w:r w:rsidR="004118A8" w:rsidRPr="004118A8">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6E9BBE7C" w:rsidR="00433B47" w:rsidRPr="0007631D" w:rsidRDefault="00112AA0" w:rsidP="00433B47">
      <w:pPr>
        <w:spacing w:after="0"/>
        <w:jc w:val="both"/>
        <w:rPr>
          <w:b/>
          <w:sz w:val="24"/>
          <w:szCs w:val="24"/>
          <w:lang w:eastAsia="zh-CN"/>
        </w:rPr>
      </w:pPr>
      <w:r>
        <w:rPr>
          <w:b/>
          <w:sz w:val="24"/>
          <w:szCs w:val="24"/>
        </w:rPr>
        <w:t>Reno</w:t>
      </w:r>
      <w:r w:rsidR="00B81D1D">
        <w:rPr>
          <w:b/>
          <w:sz w:val="24"/>
          <w:szCs w:val="24"/>
        </w:rPr>
        <w:t xml:space="preserve">, </w:t>
      </w:r>
      <w:r>
        <w:rPr>
          <w:b/>
          <w:sz w:val="24"/>
          <w:szCs w:val="24"/>
        </w:rPr>
        <w:t>Nevada, U.S.A.</w:t>
      </w:r>
    </w:p>
    <w:p w14:paraId="0FF7EEB0" w14:textId="77777777" w:rsidR="00F15C93" w:rsidRPr="0007631D" w:rsidRDefault="00F15C93" w:rsidP="00F15C93">
      <w:pPr>
        <w:pStyle w:val="Footer"/>
        <w:jc w:val="both"/>
        <w:rPr>
          <w:rFonts w:ascii="Times New Roman" w:hAnsi="Times New Roman"/>
          <w:i w:val="0"/>
          <w:noProof w:val="0"/>
        </w:rPr>
      </w:pPr>
    </w:p>
    <w:p w14:paraId="358C9AA6" w14:textId="21CECE1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B81D1D">
        <w:rPr>
          <w:b/>
          <w:sz w:val="24"/>
        </w:rPr>
        <w:t>13.3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45D20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B81D1D">
        <w:rPr>
          <w:sz w:val="24"/>
        </w:rPr>
        <w:t>Enhancements for EN-DC Single-Tx TDM Operation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5D0B93A0" w14:textId="4A33541D" w:rsidR="00BC46EE" w:rsidRPr="00FA73D9" w:rsidRDefault="00BC46EE" w:rsidP="00990557">
      <w:pPr>
        <w:jc w:val="both"/>
        <w:rPr>
          <w:rFonts w:asciiTheme="majorBidi" w:hAnsiTheme="majorBidi" w:cstheme="majorBidi"/>
          <w:bCs/>
          <w:iCs/>
        </w:rPr>
      </w:pPr>
      <w:r w:rsidRPr="00FA73D9">
        <w:rPr>
          <w:rFonts w:asciiTheme="majorBidi" w:hAnsiTheme="majorBidi" w:cstheme="majorBidi"/>
          <w:bCs/>
          <w:iCs/>
        </w:rPr>
        <w:t>The need for introducing additional enhancements for single-TX operation of EN-DC, including addressing the LTE uplink link budget issue and DL HARQ related issues, was discussed during the RAN1 AH1901, and the following agreement was reached:</w:t>
      </w:r>
    </w:p>
    <w:p w14:paraId="53EBB1F5" w14:textId="77777777" w:rsidR="00BC46EE" w:rsidRPr="00FA73D9" w:rsidRDefault="00BC46EE" w:rsidP="00BC46EE">
      <w:pPr>
        <w:rPr>
          <w:b/>
          <w:u w:val="single"/>
        </w:rPr>
      </w:pPr>
      <w:r w:rsidRPr="00FA73D9">
        <w:rPr>
          <w:b/>
          <w:u w:val="single"/>
        </w:rPr>
        <w:t>Agreements:</w:t>
      </w:r>
    </w:p>
    <w:p w14:paraId="1416DAB3" w14:textId="4B4FB6E3" w:rsidR="00BC46EE" w:rsidRDefault="00BC46EE" w:rsidP="008C6BC6">
      <w:pPr>
        <w:numPr>
          <w:ilvl w:val="0"/>
          <w:numId w:val="8"/>
        </w:numPr>
        <w:overflowPunct/>
        <w:autoSpaceDE/>
        <w:autoSpaceDN/>
        <w:adjustRightInd/>
        <w:spacing w:after="0"/>
        <w:textAlignment w:val="auto"/>
        <w:rPr>
          <w:i/>
        </w:rPr>
      </w:pPr>
      <w:r w:rsidRPr="00FA73D9">
        <w:rPr>
          <w:i/>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A73D9">
        <w:rPr>
          <w:i/>
        </w:rPr>
        <w:t>eIMTA</w:t>
      </w:r>
      <w:proofErr w:type="spellEnd"/>
      <w:r w:rsidRPr="00FA73D9">
        <w:rPr>
          <w:i/>
        </w:rPr>
        <w:t xml:space="preserve"> solution, etc.</w:t>
      </w:r>
    </w:p>
    <w:p w14:paraId="678C888F" w14:textId="77777777" w:rsidR="003521E0" w:rsidRDefault="003521E0" w:rsidP="003521E0">
      <w:pPr>
        <w:overflowPunct/>
        <w:autoSpaceDE/>
        <w:autoSpaceDN/>
        <w:adjustRightInd/>
        <w:spacing w:after="0"/>
        <w:textAlignment w:val="auto"/>
        <w:rPr>
          <w:i/>
        </w:rPr>
      </w:pPr>
    </w:p>
    <w:p w14:paraId="19CA65C4" w14:textId="184A8073" w:rsidR="003521E0" w:rsidRDefault="003521E0" w:rsidP="003521E0">
      <w:pPr>
        <w:overflowPunct/>
        <w:autoSpaceDE/>
        <w:autoSpaceDN/>
        <w:adjustRightInd/>
        <w:spacing w:after="0"/>
        <w:textAlignment w:val="auto"/>
      </w:pPr>
      <w:r w:rsidRPr="003521E0">
        <w:t>Later, during the RAN1 #96</w:t>
      </w:r>
      <w:r w:rsidR="007A5886">
        <w:t xml:space="preserve"> and #96b</w:t>
      </w:r>
      <w:r w:rsidRPr="003521E0">
        <w:t>, it was agreed that</w:t>
      </w:r>
      <w:r>
        <w:t>:</w:t>
      </w:r>
    </w:p>
    <w:p w14:paraId="1EC447C8" w14:textId="77777777" w:rsidR="003521E0" w:rsidRDefault="003521E0" w:rsidP="003521E0">
      <w:pPr>
        <w:ind w:left="1440" w:hanging="1440"/>
        <w:rPr>
          <w:highlight w:val="green"/>
          <w:lang w:eastAsia="x-none"/>
        </w:rPr>
      </w:pPr>
    </w:p>
    <w:p w14:paraId="663869EB" w14:textId="61F8BF00" w:rsidR="003521E0" w:rsidRPr="00DE1A9E" w:rsidRDefault="003521E0" w:rsidP="003521E0">
      <w:pPr>
        <w:ind w:left="1440" w:hanging="1440"/>
        <w:rPr>
          <w:b/>
          <w:highlight w:val="green"/>
          <w:u w:val="single"/>
          <w:lang w:eastAsia="x-none"/>
        </w:rPr>
      </w:pPr>
      <w:r w:rsidRPr="00DE1A9E">
        <w:rPr>
          <w:b/>
          <w:highlight w:val="green"/>
          <w:u w:val="single"/>
          <w:lang w:eastAsia="x-none"/>
        </w:rPr>
        <w:t>Agreements:</w:t>
      </w:r>
    </w:p>
    <w:p w14:paraId="1D44408D" w14:textId="77777777" w:rsidR="003521E0" w:rsidRPr="00DE1A9E" w:rsidRDefault="003521E0" w:rsidP="003521E0">
      <w:pPr>
        <w:jc w:val="both"/>
        <w:rPr>
          <w:i/>
          <w:lang w:eastAsia="zh-CN"/>
        </w:rPr>
      </w:pPr>
      <w:r w:rsidRPr="00DE1A9E">
        <w:rPr>
          <w:i/>
        </w:rPr>
        <w:t xml:space="preserve">For single </w:t>
      </w:r>
      <w:proofErr w:type="spellStart"/>
      <w:r w:rsidRPr="00DE1A9E">
        <w:rPr>
          <w:i/>
        </w:rPr>
        <w:t>tx</w:t>
      </w:r>
      <w:proofErr w:type="spellEnd"/>
      <w:r w:rsidRPr="00DE1A9E">
        <w:rPr>
          <w:i/>
        </w:rPr>
        <w:t xml:space="preserve"> switched UL in EN-DC with TDD </w:t>
      </w:r>
      <w:proofErr w:type="spellStart"/>
      <w:r w:rsidRPr="00DE1A9E">
        <w:rPr>
          <w:i/>
        </w:rPr>
        <w:t>PCell</w:t>
      </w:r>
      <w:proofErr w:type="spellEnd"/>
      <w:r w:rsidRPr="00DE1A9E">
        <w:rPr>
          <w:i/>
        </w:rPr>
        <w:t xml:space="preserve">, the LTE </w:t>
      </w:r>
      <w:proofErr w:type="spellStart"/>
      <w:r w:rsidRPr="00DE1A9E">
        <w:rPr>
          <w:i/>
        </w:rPr>
        <w:t>PCell</w:t>
      </w:r>
      <w:proofErr w:type="spellEnd"/>
      <w:r w:rsidRPr="00DE1A9E">
        <w:rPr>
          <w:i/>
        </w:rPr>
        <w:t xml:space="preserve"> can be configured</w:t>
      </w:r>
      <w:r w:rsidRPr="00DE1A9E">
        <w:rPr>
          <w:i/>
          <w:lang w:eastAsia="zh-CN"/>
        </w:rPr>
        <w:t xml:space="preserve"> with DL-reference UL/DL config</w:t>
      </w:r>
    </w:p>
    <w:p w14:paraId="5E6D357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DL HARQ timing, the DL-reference UL/DL configuration is applied</w:t>
      </w:r>
    </w:p>
    <w:p w14:paraId="1EA81030"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Only LTE TDD Pattern 2, 4, 5 can be used as DL-reference</w:t>
      </w:r>
    </w:p>
    <w:p w14:paraId="3081B6A3"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For UL HARQ timing is the same as without reference configuration for </w:t>
      </w:r>
      <w:proofErr w:type="spellStart"/>
      <w:r w:rsidRPr="00DE1A9E">
        <w:rPr>
          <w:rFonts w:ascii="Times New Roman" w:hAnsi="Times New Roman"/>
          <w:i/>
          <w:sz w:val="20"/>
          <w:szCs w:val="20"/>
          <w:lang w:eastAsia="zh-CN"/>
        </w:rPr>
        <w:t>PCell’s</w:t>
      </w:r>
      <w:proofErr w:type="spellEnd"/>
      <w:r w:rsidRPr="00DE1A9E">
        <w:rPr>
          <w:rFonts w:ascii="Times New Roman" w:hAnsi="Times New Roman"/>
          <w:i/>
          <w:sz w:val="20"/>
          <w:szCs w:val="20"/>
          <w:lang w:eastAsia="zh-CN"/>
        </w:rPr>
        <w:t xml:space="preserve"> UL/DL configuration other than TDD pattern 0/6, </w:t>
      </w:r>
    </w:p>
    <w:p w14:paraId="7B4863B4"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 xml:space="preserve">FFS: whether/how to support TDD pattern 0/6 for LTE </w:t>
      </w:r>
      <w:proofErr w:type="spellStart"/>
      <w:r w:rsidRPr="00DE1A9E">
        <w:rPr>
          <w:rFonts w:ascii="Times New Roman" w:hAnsi="Times New Roman"/>
          <w:i/>
          <w:color w:val="000000"/>
          <w:sz w:val="20"/>
          <w:szCs w:val="20"/>
          <w:lang w:eastAsia="zh-CN"/>
        </w:rPr>
        <w:t>PCell</w:t>
      </w:r>
      <w:proofErr w:type="spellEnd"/>
    </w:p>
    <w:p w14:paraId="2325DE16"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UE is not expected to transmit on the MCG and SCG simultaneously</w:t>
      </w:r>
    </w:p>
    <w:p w14:paraId="7EC5C8D5"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2 UE (</w:t>
      </w:r>
      <w:r w:rsidRPr="00DE1A9E">
        <w:rPr>
          <w:rFonts w:ascii="Times New Roman" w:hAnsi="Times New Roman"/>
          <w:i/>
          <w:color w:val="000000"/>
          <w:sz w:val="20"/>
          <w:szCs w:val="20"/>
          <w:lang w:eastAsia="zh-CN"/>
        </w:rPr>
        <w:t>i.e., UE without dynamic power sharing capability)</w:t>
      </w:r>
      <w:r w:rsidRPr="00DE1A9E">
        <w:rPr>
          <w:rFonts w:ascii="Times New Roman" w:hAnsi="Times New Roman"/>
          <w:i/>
          <w:sz w:val="20"/>
          <w:szCs w:val="20"/>
          <w:lang w:eastAsia="zh-CN"/>
        </w:rPr>
        <w:t>:</w:t>
      </w:r>
    </w:p>
    <w:p w14:paraId="04B6813A"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UE </w:t>
      </w:r>
      <w:proofErr w:type="gramStart"/>
      <w:r w:rsidRPr="00DE1A9E">
        <w:rPr>
          <w:rFonts w:ascii="Times New Roman" w:hAnsi="Times New Roman"/>
          <w:i/>
          <w:sz w:val="20"/>
          <w:szCs w:val="20"/>
          <w:lang w:eastAsia="zh-CN"/>
        </w:rPr>
        <w:t>is allowed to</w:t>
      </w:r>
      <w:proofErr w:type="gramEnd"/>
      <w:r w:rsidRPr="00DE1A9E">
        <w:rPr>
          <w:rFonts w:ascii="Times New Roman" w:hAnsi="Times New Roman"/>
          <w:i/>
          <w:sz w:val="20"/>
          <w:szCs w:val="20"/>
          <w:lang w:eastAsia="zh-CN"/>
        </w:rPr>
        <w:t xml:space="preserve"> transmit LTE PUSCH only in the UL subframes designated as UL in the DL-reference configuration</w:t>
      </w:r>
    </w:p>
    <w:p w14:paraId="68884CA2"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1 UE (</w:t>
      </w:r>
      <w:r w:rsidRPr="00DE1A9E">
        <w:rPr>
          <w:rFonts w:ascii="Times New Roman" w:hAnsi="Times New Roman"/>
          <w:i/>
          <w:color w:val="000000"/>
          <w:sz w:val="20"/>
          <w:szCs w:val="20"/>
          <w:lang w:eastAsia="zh-CN"/>
        </w:rPr>
        <w:t>i.e., UE with dynamic power sharing capability</w:t>
      </w:r>
      <w:r w:rsidRPr="00DE1A9E">
        <w:rPr>
          <w:rFonts w:ascii="Times New Roman" w:hAnsi="Times New Roman"/>
          <w:i/>
          <w:sz w:val="20"/>
          <w:szCs w:val="20"/>
          <w:lang w:eastAsia="zh-CN"/>
        </w:rPr>
        <w:t xml:space="preserve">): </w:t>
      </w:r>
    </w:p>
    <w:p w14:paraId="4FF0D664"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LTE PUSCH is only scheduled in the UL subframes associated configured by the DL-reference configuration</w:t>
      </w:r>
    </w:p>
    <w:p w14:paraId="655D979D"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NR PUSCH is only scheduled in the remaining UL subframes other than those configured by the DL-reference configuration</w:t>
      </w:r>
    </w:p>
    <w:p w14:paraId="528E4158"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If there is a collision, </w:t>
      </w:r>
    </w:p>
    <w:p w14:paraId="366DA89B"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In the UL subframes designated as UL in the DL-reference configuration, UE is expected to drop NR PUSCH</w:t>
      </w:r>
    </w:p>
    <w:p w14:paraId="27EA21C5"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In other UL subframes, UE </w:t>
      </w:r>
      <w:proofErr w:type="spellStart"/>
      <w:r w:rsidRPr="00DE1A9E">
        <w:rPr>
          <w:rFonts w:ascii="Times New Roman" w:hAnsi="Times New Roman"/>
          <w:i/>
          <w:sz w:val="20"/>
          <w:szCs w:val="20"/>
          <w:lang w:eastAsia="zh-CN"/>
        </w:rPr>
        <w:t>behaviour</w:t>
      </w:r>
      <w:proofErr w:type="spellEnd"/>
      <w:r w:rsidRPr="00DE1A9E">
        <w:rPr>
          <w:rFonts w:ascii="Times New Roman" w:hAnsi="Times New Roman"/>
          <w:i/>
          <w:sz w:val="20"/>
          <w:szCs w:val="20"/>
          <w:lang w:eastAsia="zh-CN"/>
        </w:rPr>
        <w:t xml:space="preserve"> to be expected to </w:t>
      </w:r>
      <w:proofErr w:type="gramStart"/>
      <w:r w:rsidRPr="00DE1A9E">
        <w:rPr>
          <w:rFonts w:ascii="Times New Roman" w:hAnsi="Times New Roman"/>
          <w:i/>
          <w:sz w:val="20"/>
          <w:szCs w:val="20"/>
          <w:lang w:eastAsia="zh-CN"/>
        </w:rPr>
        <w:t>specified</w:t>
      </w:r>
      <w:proofErr w:type="gramEnd"/>
      <w:r w:rsidRPr="00DE1A9E">
        <w:rPr>
          <w:rFonts w:ascii="Times New Roman" w:hAnsi="Times New Roman"/>
          <w:i/>
          <w:sz w:val="20"/>
          <w:szCs w:val="20"/>
          <w:lang w:eastAsia="zh-CN"/>
        </w:rPr>
        <w:t xml:space="preserve"> with details FFS</w:t>
      </w:r>
    </w:p>
    <w:p w14:paraId="5C1E45C7" w14:textId="77777777" w:rsidR="003521E0" w:rsidRPr="00DE1A9E" w:rsidRDefault="003521E0" w:rsidP="003521E0">
      <w:pPr>
        <w:pStyle w:val="ListParagraph"/>
        <w:numPr>
          <w:ilvl w:val="3"/>
          <w:numId w:val="9"/>
        </w:numPr>
        <w:jc w:val="both"/>
        <w:rPr>
          <w:rFonts w:ascii="Times New Roman" w:hAnsi="Times New Roman"/>
          <w:i/>
          <w:sz w:val="20"/>
          <w:szCs w:val="20"/>
          <w:lang w:eastAsia="zh-CN"/>
        </w:rPr>
      </w:pPr>
      <w:r w:rsidRPr="00DE1A9E">
        <w:rPr>
          <w:rFonts w:ascii="Times New Roman" w:hAnsi="Times New Roman"/>
          <w:i/>
          <w:sz w:val="20"/>
          <w:szCs w:val="20"/>
          <w:lang w:eastAsia="zh-CN"/>
        </w:rPr>
        <w:t>E.g., drop LTE PUSCH, drop NR PUSCH, etc.</w:t>
      </w:r>
    </w:p>
    <w:p w14:paraId="1067BA83"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FFS for the case of NR SRS &amp; NR PRACH</w:t>
      </w:r>
    </w:p>
    <w:p w14:paraId="766AF78C"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Note: the impact of switching time (if non-zero) will be further studied.</w:t>
      </w:r>
    </w:p>
    <w:p w14:paraId="00A7AC66"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Note: the above does not assume any restriction between </w:t>
      </w:r>
      <w:proofErr w:type="spellStart"/>
      <w:r w:rsidRPr="00DE1A9E">
        <w:rPr>
          <w:rFonts w:ascii="Times New Roman" w:hAnsi="Times New Roman"/>
          <w:i/>
          <w:sz w:val="20"/>
          <w:szCs w:val="20"/>
          <w:lang w:eastAsia="zh-CN"/>
        </w:rPr>
        <w:t>gNB</w:t>
      </w:r>
      <w:proofErr w:type="spellEnd"/>
      <w:r w:rsidRPr="00DE1A9E">
        <w:rPr>
          <w:rFonts w:ascii="Times New Roman" w:hAnsi="Times New Roman"/>
          <w:i/>
          <w:sz w:val="20"/>
          <w:szCs w:val="20"/>
          <w:lang w:eastAsia="zh-CN"/>
        </w:rPr>
        <w:t xml:space="preserve"> and </w:t>
      </w:r>
      <w:proofErr w:type="spellStart"/>
      <w:r w:rsidRPr="00DE1A9E">
        <w:rPr>
          <w:rFonts w:ascii="Times New Roman" w:hAnsi="Times New Roman"/>
          <w:i/>
          <w:sz w:val="20"/>
          <w:szCs w:val="20"/>
          <w:lang w:eastAsia="zh-CN"/>
        </w:rPr>
        <w:t>eNB</w:t>
      </w:r>
      <w:proofErr w:type="spellEnd"/>
      <w:r w:rsidRPr="00DE1A9E">
        <w:rPr>
          <w:rFonts w:ascii="Times New Roman" w:hAnsi="Times New Roman"/>
          <w:i/>
          <w:sz w:val="20"/>
          <w:szCs w:val="20"/>
          <w:lang w:eastAsia="zh-CN"/>
        </w:rPr>
        <w:t xml:space="preserve"> (e.g., tight coordination)</w:t>
      </w:r>
    </w:p>
    <w:p w14:paraId="3B8D865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FFS: whether/how to support HARQ-offset (similar as in SUO case 1 in EN-DC with LTE FDD </w:t>
      </w:r>
      <w:proofErr w:type="spellStart"/>
      <w:r w:rsidRPr="00DE1A9E">
        <w:rPr>
          <w:rFonts w:ascii="Times New Roman" w:hAnsi="Times New Roman"/>
          <w:i/>
          <w:sz w:val="20"/>
          <w:szCs w:val="20"/>
          <w:lang w:eastAsia="zh-CN"/>
        </w:rPr>
        <w:t>PCell</w:t>
      </w:r>
      <w:proofErr w:type="spellEnd"/>
      <w:r w:rsidRPr="00DE1A9E">
        <w:rPr>
          <w:rFonts w:ascii="Times New Roman" w:hAnsi="Times New Roman"/>
          <w:i/>
          <w:sz w:val="20"/>
          <w:szCs w:val="20"/>
          <w:lang w:eastAsia="zh-CN"/>
        </w:rPr>
        <w:t>)</w:t>
      </w:r>
    </w:p>
    <w:p w14:paraId="3F66B349" w14:textId="16398F7B" w:rsidR="003521E0" w:rsidRDefault="003521E0" w:rsidP="003521E0">
      <w:pPr>
        <w:ind w:left="1440" w:hanging="1440"/>
        <w:rPr>
          <w:lang w:eastAsia="x-none"/>
        </w:rPr>
      </w:pPr>
    </w:p>
    <w:p w14:paraId="784AE9C9" w14:textId="77777777" w:rsidR="007A5886" w:rsidRDefault="007A5886" w:rsidP="00EA1901">
      <w:pPr>
        <w:jc w:val="both"/>
        <w:rPr>
          <w:lang w:eastAsia="x-none"/>
        </w:rPr>
      </w:pPr>
    </w:p>
    <w:p w14:paraId="14470501" w14:textId="77777777" w:rsidR="004F6F96" w:rsidRPr="007A5886" w:rsidRDefault="00881A40" w:rsidP="007A5886">
      <w:pPr>
        <w:jc w:val="both"/>
        <w:rPr>
          <w:lang w:eastAsia="x-none"/>
        </w:rPr>
      </w:pPr>
      <w:r w:rsidRPr="00881A40">
        <w:rPr>
          <w:b/>
          <w:bCs/>
          <w:highlight w:val="green"/>
          <w:u w:val="single"/>
          <w:lang w:val="en-GB" w:eastAsia="x-none"/>
        </w:rPr>
        <w:lastRenderedPageBreak/>
        <w:t>Agreements:</w:t>
      </w:r>
    </w:p>
    <w:p w14:paraId="0397AB11"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DL HARQ timing corresponding to the DL-reference UL/DL configuration used in single Tx in EN-DC with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the following clarifications are agreed:</w:t>
      </w:r>
    </w:p>
    <w:p w14:paraId="6C8A6B63"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use the PDSCH ACK timeline as in Table 10.1.3.1-1 in 36.213.</w:t>
      </w:r>
    </w:p>
    <w:p w14:paraId="1546A85B"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LTE DL CA, the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uses the same DL-reference UL/DL configuration as the </w:t>
      </w:r>
      <w:proofErr w:type="spellStart"/>
      <w:r w:rsidRPr="007A5886">
        <w:rPr>
          <w:rFonts w:ascii="Times New Roman" w:hAnsi="Times New Roman"/>
          <w:i/>
          <w:sz w:val="20"/>
          <w:lang w:val="en-GB" w:eastAsia="x-none"/>
        </w:rPr>
        <w:t>PCell</w:t>
      </w:r>
      <w:proofErr w:type="spellEnd"/>
    </w:p>
    <w:p w14:paraId="52B57A68" w14:textId="77777777" w:rsidR="004F6F96" w:rsidRPr="007A5886" w:rsidRDefault="00881A40" w:rsidP="007A5886">
      <w:pPr>
        <w:pStyle w:val="ListParagraph"/>
        <w:numPr>
          <w:ilvl w:val="1"/>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FDD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 the PDSCH ACK timeline defined for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as in case of LTE FDD-TDD CA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10.1.3A-1 in 36.213)</w:t>
      </w:r>
    </w:p>
    <w:p w14:paraId="1725CF56" w14:textId="77777777" w:rsidR="004F6F96" w:rsidRPr="007A5886" w:rsidRDefault="00881A40" w:rsidP="007A5886">
      <w:pPr>
        <w:pStyle w:val="ListParagraph"/>
        <w:numPr>
          <w:ilvl w:val="1"/>
          <w:numId w:val="12"/>
        </w:numPr>
        <w:jc w:val="both"/>
        <w:rPr>
          <w:rFonts w:ascii="Times New Roman" w:hAnsi="Times New Roman"/>
          <w:i/>
          <w:sz w:val="20"/>
          <w:lang w:eastAsia="x-none"/>
        </w:rPr>
      </w:pPr>
      <w:r w:rsidRPr="007A5886">
        <w:rPr>
          <w:rFonts w:ascii="Times New Roman" w:hAnsi="Times New Roman"/>
          <w:i/>
          <w:sz w:val="20"/>
          <w:lang w:val="en-GB" w:eastAsia="x-none"/>
        </w:rPr>
        <w:t>FFS:</w:t>
      </w:r>
    </w:p>
    <w:p w14:paraId="208FCAC5" w14:textId="77777777" w:rsidR="004F6F96" w:rsidRPr="007A5886" w:rsidRDefault="00881A40" w:rsidP="007A5886">
      <w:pPr>
        <w:pStyle w:val="ListParagraph"/>
        <w:numPr>
          <w:ilvl w:val="2"/>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with different UL/DL configuration (as in SIB1) as the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use the PDSCH ACK timeline for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as in case of LTE FDD-TDD CA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10.1.3A-1 in 36.213)</w:t>
      </w:r>
    </w:p>
    <w:p w14:paraId="4762A7B4" w14:textId="77777777" w:rsidR="004F6F96" w:rsidRPr="007A5886" w:rsidRDefault="00881A40" w:rsidP="007A5886">
      <w:pPr>
        <w:pStyle w:val="ListParagraph"/>
        <w:numPr>
          <w:ilvl w:val="2"/>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with the same UL/DL configuration (as in SIB1) as the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use the same PDSCH ACK timeline as the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10.1.3.1-1 in 36.213)</w:t>
      </w:r>
    </w:p>
    <w:p w14:paraId="0AB8EF87" w14:textId="77777777" w:rsidR="007A5886" w:rsidRPr="007A5886" w:rsidRDefault="007A5886" w:rsidP="007A5886">
      <w:pPr>
        <w:jc w:val="both"/>
        <w:rPr>
          <w:b/>
          <w:bCs/>
          <w:i/>
          <w:u w:val="single"/>
          <w:lang w:val="en-GB" w:eastAsia="x-none"/>
        </w:rPr>
      </w:pPr>
    </w:p>
    <w:p w14:paraId="2EC890D0" w14:textId="6428C275" w:rsidR="004F6F96" w:rsidRPr="007A5886" w:rsidRDefault="00881A40" w:rsidP="007A5886">
      <w:pPr>
        <w:jc w:val="both"/>
        <w:rPr>
          <w:lang w:eastAsia="x-none"/>
        </w:rPr>
      </w:pPr>
      <w:r w:rsidRPr="00881A40">
        <w:rPr>
          <w:b/>
          <w:bCs/>
          <w:highlight w:val="green"/>
          <w:u w:val="single"/>
          <w:lang w:val="en-GB" w:eastAsia="x-none"/>
        </w:rPr>
        <w:t>Agreements:</w:t>
      </w:r>
    </w:p>
    <w:p w14:paraId="5F684F08" w14:textId="1E36137A" w:rsidR="004F6F96" w:rsidRPr="007A5886" w:rsidRDefault="00881A40" w:rsidP="007A5886">
      <w:pPr>
        <w:pStyle w:val="ListParagraph"/>
        <w:numPr>
          <w:ilvl w:val="0"/>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For single UL operation in EN-DC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and UE is configured with DL-reference UL/DL configuration</w:t>
      </w:r>
      <w:r>
        <w:rPr>
          <w:rFonts w:ascii="Times New Roman" w:hAnsi="Times New Roman"/>
          <w:i/>
          <w:sz w:val="20"/>
          <w:lang w:val="en-GB" w:eastAsia="x-none"/>
        </w:rPr>
        <w:t>:</w:t>
      </w:r>
    </w:p>
    <w:p w14:paraId="3FACCD15" w14:textId="77777777" w:rsidR="004F6F96" w:rsidRPr="007A5886" w:rsidRDefault="00881A40" w:rsidP="00881A40">
      <w:pPr>
        <w:pStyle w:val="ListParagraph"/>
        <w:numPr>
          <w:ilvl w:val="1"/>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Support PUCCH formats 3/4/5, PUCCH </w:t>
      </w:r>
      <w:proofErr w:type="spellStart"/>
      <w:r w:rsidRPr="007A5886">
        <w:rPr>
          <w:rFonts w:ascii="Times New Roman" w:hAnsi="Times New Roman"/>
          <w:i/>
          <w:sz w:val="20"/>
          <w:lang w:val="en-GB" w:eastAsia="x-none"/>
        </w:rPr>
        <w:t>fallback</w:t>
      </w:r>
      <w:proofErr w:type="spellEnd"/>
      <w:r w:rsidRPr="007A5886">
        <w:rPr>
          <w:rFonts w:ascii="Times New Roman" w:hAnsi="Times New Roman"/>
          <w:i/>
          <w:sz w:val="20"/>
          <w:lang w:val="en-GB" w:eastAsia="x-none"/>
        </w:rPr>
        <w:t xml:space="preserve"> operation based on implicit resource indication is not supported.</w:t>
      </w:r>
    </w:p>
    <w:p w14:paraId="63447D09"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PUCCH format and resource determination when the UE only receives DAI=1</w:t>
      </w:r>
    </w:p>
    <w:p w14:paraId="557DBD60"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FFS </w:t>
      </w:r>
      <w:proofErr w:type="gramStart"/>
      <w:r w:rsidRPr="007A5886">
        <w:rPr>
          <w:rFonts w:ascii="Times New Roman" w:hAnsi="Times New Roman"/>
          <w:i/>
          <w:sz w:val="20"/>
          <w:lang w:val="en-GB" w:eastAsia="x-none"/>
        </w:rPr>
        <w:t>whether or not</w:t>
      </w:r>
      <w:proofErr w:type="gramEnd"/>
      <w:r w:rsidRPr="007A5886">
        <w:rPr>
          <w:rFonts w:ascii="Times New Roman" w:hAnsi="Times New Roman"/>
          <w:i/>
          <w:sz w:val="20"/>
          <w:lang w:val="en-GB" w:eastAsia="x-none"/>
        </w:rPr>
        <w:t xml:space="preserve"> there are any additional issues related to SPS</w:t>
      </w:r>
    </w:p>
    <w:p w14:paraId="767D83E7" w14:textId="77777777" w:rsidR="007A5886" w:rsidRPr="007A5886" w:rsidRDefault="007A5886" w:rsidP="00EA1901">
      <w:pPr>
        <w:jc w:val="both"/>
        <w:rPr>
          <w:i/>
          <w:lang w:eastAsia="x-none"/>
        </w:rPr>
      </w:pPr>
    </w:p>
    <w:p w14:paraId="0469D57F" w14:textId="6CF7B8E8" w:rsidR="00EA1901" w:rsidRDefault="003521E0" w:rsidP="00EA1901">
      <w:pPr>
        <w:jc w:val="both"/>
        <w:rPr>
          <w:rFonts w:asciiTheme="majorBidi" w:hAnsiTheme="majorBidi" w:cstheme="majorBidi"/>
          <w:bCs/>
          <w:iCs/>
        </w:rPr>
      </w:pPr>
      <w:r>
        <w:rPr>
          <w:lang w:eastAsia="x-none"/>
        </w:rPr>
        <w:t xml:space="preserve">In the remainder of this contribution paper, we present some design details related to the remaining open issues. </w:t>
      </w:r>
    </w:p>
    <w:p w14:paraId="51BA0302" w14:textId="0CEB175D" w:rsidR="00EA1901" w:rsidRPr="00DE44D6" w:rsidRDefault="0041156E" w:rsidP="00EA1901">
      <w:pPr>
        <w:pStyle w:val="Heading1"/>
        <w:jc w:val="both"/>
        <w:rPr>
          <w:rFonts w:ascii="Times New Roman" w:hAnsi="Times New Roman"/>
        </w:rPr>
      </w:pPr>
      <w:r>
        <w:rPr>
          <w:rFonts w:ascii="Times New Roman" w:hAnsi="Times New Roman"/>
        </w:rPr>
        <w:t>Collision Handling</w:t>
      </w:r>
      <w:r w:rsidR="00EA1901">
        <w:rPr>
          <w:rFonts w:ascii="Times New Roman" w:hAnsi="Times New Roman"/>
        </w:rPr>
        <w:t xml:space="preserve"> under EN-DC Single-Tx TDM Operation</w:t>
      </w:r>
    </w:p>
    <w:p w14:paraId="627C778B" w14:textId="77777777" w:rsidR="0041156E" w:rsidRDefault="002A19F1" w:rsidP="00EA1901">
      <w:pPr>
        <w:jc w:val="both"/>
      </w:pPr>
      <w:r>
        <w:t xml:space="preserve">Based on the agreement reached in RAN1 #96, the LTE PUSCH and NR PUSCH transmissions are not </w:t>
      </w:r>
      <w:r w:rsidR="0041156E">
        <w:t xml:space="preserve">restricted to the uplink subframes indicated by the reference DL configurations. In case of collision in subframes indicated as uplink by the downlink reference configurations, NR uplink should be dropped. The remaining issue is to resolve the collision in </w:t>
      </w:r>
      <w:proofErr w:type="gramStart"/>
      <w:r w:rsidR="0041156E">
        <w:t>other</w:t>
      </w:r>
      <w:proofErr w:type="gramEnd"/>
      <w:r w:rsidR="0041156E">
        <w:t xml:space="preserve"> uplink subframes. </w:t>
      </w:r>
    </w:p>
    <w:p w14:paraId="3E92CC46" w14:textId="0EA13BC6" w:rsidR="0041156E" w:rsidRDefault="0041156E" w:rsidP="00EA1901">
      <w:pPr>
        <w:jc w:val="both"/>
      </w:pPr>
      <w:r>
        <w:t xml:space="preserve">Given that LTE has a </w:t>
      </w:r>
      <w:proofErr w:type="gramStart"/>
      <w:r>
        <w:t>longer processing timelines</w:t>
      </w:r>
      <w:proofErr w:type="gramEnd"/>
      <w:r>
        <w:t xml:space="preserve"> and cannot be adapted to NR transmissions, the uplink collisions</w:t>
      </w:r>
      <w:r w:rsidR="0061730B">
        <w:t xml:space="preserve"> including collisions between LTE PUSCH and NR PUSCH/PRACH/SRS </w:t>
      </w:r>
      <w:r>
        <w:t>should</w:t>
      </w:r>
      <w:r w:rsidR="0061730B">
        <w:t xml:space="preserve"> be </w:t>
      </w:r>
      <w:r>
        <w:t xml:space="preserve">considered </w:t>
      </w:r>
      <w:r w:rsidR="005A0585">
        <w:t xml:space="preserve">either </w:t>
      </w:r>
      <w:r>
        <w:t xml:space="preserve">as </w:t>
      </w:r>
      <w:r w:rsidR="0061730B">
        <w:t xml:space="preserve">an </w:t>
      </w:r>
      <w:r>
        <w:t>error case</w:t>
      </w:r>
      <w:r w:rsidR="005A0585">
        <w:t xml:space="preserve"> or NR transmission should be dropped</w:t>
      </w:r>
      <w:r>
        <w:t>.</w:t>
      </w:r>
      <w:r w:rsidR="0061730B">
        <w:t xml:space="preserve"> Regarding the NR SRS, the transmissions can be planned over the cell-specific SRS subframes of LTE. In such a case, the LTE PUSCH/PUCCH rate-matching around the SRS symbols is naturally done by the UE </w:t>
      </w:r>
      <w:proofErr w:type="gramStart"/>
      <w:r w:rsidR="0061730B">
        <w:t>similar to</w:t>
      </w:r>
      <w:proofErr w:type="gramEnd"/>
      <w:r w:rsidR="0061730B">
        <w:t xml:space="preserve"> the legacy LTE.  </w:t>
      </w:r>
    </w:p>
    <w:p w14:paraId="1E58F2F4" w14:textId="5B673FBA" w:rsidR="002055EF" w:rsidRDefault="0041156E" w:rsidP="00EA1901">
      <w:pPr>
        <w:jc w:val="both"/>
        <w:rPr>
          <w:b/>
        </w:rPr>
      </w:pPr>
      <w:r w:rsidRPr="00DE1A9E">
        <w:rPr>
          <w:b/>
        </w:rPr>
        <w:t xml:space="preserve">Proposal 1: </w:t>
      </w:r>
      <w:r w:rsidR="00CA32CA" w:rsidRPr="00DE1A9E">
        <w:rPr>
          <w:b/>
        </w:rPr>
        <w:t xml:space="preserve">For single </w:t>
      </w:r>
      <w:proofErr w:type="spellStart"/>
      <w:r w:rsidR="00CA32CA" w:rsidRPr="00DE1A9E">
        <w:rPr>
          <w:b/>
        </w:rPr>
        <w:t>tx</w:t>
      </w:r>
      <w:proofErr w:type="spellEnd"/>
      <w:r w:rsidR="00CA32CA" w:rsidRPr="00DE1A9E">
        <w:rPr>
          <w:b/>
        </w:rPr>
        <w:t xml:space="preserve"> switched UL in EN-DC with TDD </w:t>
      </w:r>
      <w:proofErr w:type="spellStart"/>
      <w:r w:rsidR="00CA32CA" w:rsidRPr="00DE1A9E">
        <w:rPr>
          <w:b/>
        </w:rPr>
        <w:t>P</w:t>
      </w:r>
      <w:r w:rsidR="00CA32CA">
        <w:rPr>
          <w:b/>
        </w:rPr>
        <w:t>c</w:t>
      </w:r>
      <w:r w:rsidR="00CA32CA" w:rsidRPr="00DE1A9E">
        <w:rPr>
          <w:b/>
        </w:rPr>
        <w:t>ell</w:t>
      </w:r>
      <w:proofErr w:type="spellEnd"/>
      <w:r w:rsidR="00CA32CA">
        <w:rPr>
          <w:b/>
        </w:rPr>
        <w:t>,</w:t>
      </w:r>
      <w:r w:rsidR="00CA32CA" w:rsidRPr="0061730B">
        <w:rPr>
          <w:b/>
        </w:rPr>
        <w:t xml:space="preserve"> </w:t>
      </w:r>
      <w:r w:rsidR="00CA32CA">
        <w:rPr>
          <w:b/>
        </w:rPr>
        <w:t>t</w:t>
      </w:r>
      <w:r w:rsidRPr="00DE1A9E">
        <w:rPr>
          <w:b/>
        </w:rPr>
        <w:t xml:space="preserve">he </w:t>
      </w:r>
      <w:r w:rsidR="00CA32CA">
        <w:rPr>
          <w:b/>
        </w:rPr>
        <w:t xml:space="preserve">type 1 </w:t>
      </w:r>
      <w:r w:rsidRPr="00DE1A9E">
        <w:rPr>
          <w:b/>
        </w:rPr>
        <w:t xml:space="preserve">UE should consider LTE and NR </w:t>
      </w:r>
      <w:r w:rsidR="0061730B" w:rsidRPr="00DE1A9E">
        <w:rPr>
          <w:b/>
        </w:rPr>
        <w:t>uplink</w:t>
      </w:r>
      <w:r w:rsidRPr="00DE1A9E">
        <w:rPr>
          <w:b/>
        </w:rPr>
        <w:t xml:space="preserve"> collisions either as </w:t>
      </w:r>
      <w:r w:rsidR="005A0585">
        <w:rPr>
          <w:b/>
        </w:rPr>
        <w:t xml:space="preserve">an </w:t>
      </w:r>
      <w:r w:rsidRPr="00DE1A9E">
        <w:rPr>
          <w:b/>
        </w:rPr>
        <w:t>error case</w:t>
      </w:r>
      <w:r w:rsidR="005A0585">
        <w:rPr>
          <w:b/>
        </w:rPr>
        <w:t xml:space="preserve"> or should drop the NR transmission</w:t>
      </w:r>
      <w:r w:rsidRPr="00DE1A9E">
        <w:rPr>
          <w:b/>
        </w:rPr>
        <w:t xml:space="preserve">. </w:t>
      </w:r>
    </w:p>
    <w:p w14:paraId="7342FD2B" w14:textId="022B8451" w:rsidR="002055EF" w:rsidRPr="00DE1A9E" w:rsidRDefault="002055EF" w:rsidP="00EA1901">
      <w:pPr>
        <w:jc w:val="both"/>
      </w:pPr>
      <w:proofErr w:type="gramStart"/>
      <w:r w:rsidRPr="00DE1A9E">
        <w:t>Similar to</w:t>
      </w:r>
      <w:proofErr w:type="gramEnd"/>
      <w:r w:rsidRPr="00DE1A9E">
        <w:t xml:space="preserve"> the agreement</w:t>
      </w:r>
      <w:r w:rsidR="00CA32CA" w:rsidRPr="00DE1A9E">
        <w:t xml:space="preserve"> made for EN-DC with TDD </w:t>
      </w:r>
      <w:proofErr w:type="spellStart"/>
      <w:r w:rsidR="00CA32CA" w:rsidRPr="00DE1A9E">
        <w:t>Pcell</w:t>
      </w:r>
      <w:proofErr w:type="spellEnd"/>
      <w:r w:rsidR="00CA32CA" w:rsidRPr="00DE1A9E">
        <w:t xml:space="preserve">, for Rel. 16 EN-DC with an FDD </w:t>
      </w:r>
      <w:proofErr w:type="spellStart"/>
      <w:r w:rsidR="00CA32CA" w:rsidRPr="00DE1A9E">
        <w:t>Pcell</w:t>
      </w:r>
      <w:proofErr w:type="spellEnd"/>
      <w:r w:rsidR="00CA32CA" w:rsidRPr="00DE1A9E">
        <w:t>, in order to not impact the LTE uplink coverage, the LTE PUSCH transmission should not be restricted to the UL subframes indicated by the downlink reference configurations.</w:t>
      </w:r>
    </w:p>
    <w:p w14:paraId="5A7FC1FC" w14:textId="712D40A3" w:rsidR="00CA32CA" w:rsidRDefault="00CA32CA" w:rsidP="00EA1901">
      <w:pPr>
        <w:jc w:val="both"/>
        <w:rPr>
          <w:b/>
          <w:lang w:eastAsia="zh-CN"/>
        </w:rPr>
      </w:pPr>
      <w:r>
        <w:rPr>
          <w:b/>
        </w:rPr>
        <w:t xml:space="preserve">Proposal 2: </w:t>
      </w:r>
      <w:r w:rsidRPr="009421C2">
        <w:rPr>
          <w:b/>
        </w:rPr>
        <w:t xml:space="preserve">For single </w:t>
      </w:r>
      <w:proofErr w:type="spellStart"/>
      <w:r w:rsidRPr="009421C2">
        <w:rPr>
          <w:b/>
        </w:rPr>
        <w:t>tx</w:t>
      </w:r>
      <w:proofErr w:type="spellEnd"/>
      <w:r w:rsidRPr="009421C2">
        <w:rPr>
          <w:b/>
        </w:rPr>
        <w:t xml:space="preserve"> switched UL in EN-DC with </w:t>
      </w:r>
      <w:r>
        <w:rPr>
          <w:b/>
        </w:rPr>
        <w:t>F</w:t>
      </w:r>
      <w:r w:rsidRPr="009421C2">
        <w:rPr>
          <w:b/>
        </w:rPr>
        <w:t xml:space="preserve">DD </w:t>
      </w:r>
      <w:proofErr w:type="spellStart"/>
      <w:r w:rsidRPr="009421C2">
        <w:rPr>
          <w:b/>
        </w:rPr>
        <w:t>P</w:t>
      </w:r>
      <w:r>
        <w:rPr>
          <w:b/>
        </w:rPr>
        <w:t>c</w:t>
      </w:r>
      <w:r w:rsidRPr="009421C2">
        <w:rPr>
          <w:b/>
        </w:rPr>
        <w:t>ell</w:t>
      </w:r>
      <w:proofErr w:type="spellEnd"/>
      <w:r>
        <w:rPr>
          <w:b/>
        </w:rPr>
        <w:t xml:space="preserve">, the type 1 UE should not </w:t>
      </w:r>
      <w:r w:rsidRPr="00DE1A9E">
        <w:rPr>
          <w:b/>
          <w:lang w:eastAsia="zh-CN"/>
        </w:rPr>
        <w:t xml:space="preserve">assume that LTE PUSCH is only scheduled in the UL subframes configured by the </w:t>
      </w:r>
      <w:r>
        <w:rPr>
          <w:b/>
          <w:lang w:eastAsia="zh-CN"/>
        </w:rPr>
        <w:t xml:space="preserve">downlink </w:t>
      </w:r>
      <w:r w:rsidRPr="00DE1A9E">
        <w:rPr>
          <w:b/>
          <w:lang w:eastAsia="zh-CN"/>
        </w:rPr>
        <w:t>reference configuration</w:t>
      </w:r>
      <w:r>
        <w:rPr>
          <w:b/>
          <w:lang w:eastAsia="zh-CN"/>
        </w:rPr>
        <w:t>.</w:t>
      </w:r>
    </w:p>
    <w:p w14:paraId="7360FA4E" w14:textId="0A7BCADF" w:rsidR="00513C0F" w:rsidRDefault="00713B44" w:rsidP="001A7D12">
      <w:pPr>
        <w:jc w:val="both"/>
      </w:pPr>
      <w:r w:rsidRPr="00DE1A9E">
        <w:t xml:space="preserve">Another issue to consider is whether it is possible to reuse the HARQ offset concept introduced in Rel. 15 for the case of EN-DC with TDD </w:t>
      </w:r>
      <w:proofErr w:type="spellStart"/>
      <w:r w:rsidRPr="00DE1A9E">
        <w:t>Pcel</w:t>
      </w:r>
      <w:r>
        <w:t>l</w:t>
      </w:r>
      <w:proofErr w:type="spellEnd"/>
      <w:r>
        <w:t xml:space="preserve">. This is important </w:t>
      </w:r>
      <w:proofErr w:type="gramStart"/>
      <w:r>
        <w:t>in order to</w:t>
      </w:r>
      <w:proofErr w:type="gramEnd"/>
      <w:r>
        <w:t xml:space="preserve"> make sure that not all LTE HARQ-ACK traffic is concentrated in a subset of uplink subframes. </w:t>
      </w:r>
      <w:r w:rsidR="00352A75">
        <w:t>An example is illustrated in Figure 1 below:</w:t>
      </w:r>
    </w:p>
    <w:p w14:paraId="653054C2" w14:textId="77777777" w:rsidR="00513C0F" w:rsidRDefault="00513C0F" w:rsidP="00DE1A9E">
      <w:pPr>
        <w:keepNext/>
        <w:jc w:val="center"/>
      </w:pPr>
      <w:r>
        <w:object w:dxaOrig="19455" w:dyaOrig="4590" w14:anchorId="022A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18pt" o:ole="">
            <v:imagedata r:id="rId12" o:title=""/>
          </v:shape>
          <o:OLEObject Type="Embed" ProgID="Visio.Drawing.15" ShapeID="_x0000_i1025" DrawAspect="Content" ObjectID="_1618424346" r:id="rId13"/>
        </w:object>
      </w:r>
    </w:p>
    <w:p w14:paraId="53C75041" w14:textId="0A2D4036" w:rsidR="00513C0F" w:rsidRDefault="00513C0F" w:rsidP="00DE1A9E">
      <w:pPr>
        <w:pStyle w:val="Caption"/>
        <w:jc w:val="center"/>
      </w:pPr>
      <w:r>
        <w:t xml:space="preserve">Figure </w:t>
      </w:r>
      <w:r w:rsidR="00033A2E">
        <w:rPr>
          <w:noProof/>
        </w:rPr>
        <w:fldChar w:fldCharType="begin"/>
      </w:r>
      <w:r w:rsidR="00033A2E">
        <w:rPr>
          <w:noProof/>
        </w:rPr>
        <w:instrText xml:space="preserve"> SEQ Figure \* ARABIC </w:instrText>
      </w:r>
      <w:r w:rsidR="00033A2E">
        <w:rPr>
          <w:noProof/>
        </w:rPr>
        <w:fldChar w:fldCharType="separate"/>
      </w:r>
      <w:r>
        <w:rPr>
          <w:noProof/>
        </w:rPr>
        <w:t>1</w:t>
      </w:r>
      <w:r w:rsidR="00033A2E">
        <w:rPr>
          <w:noProof/>
        </w:rPr>
        <w:fldChar w:fldCharType="end"/>
      </w:r>
      <w:r>
        <w:t>: An example of assigning different HARQ offsets to different users in case of EN-DC with TDD Pcell.</w:t>
      </w:r>
    </w:p>
    <w:p w14:paraId="2818538D" w14:textId="77777777" w:rsidR="001A7D12" w:rsidRDefault="001A7D12" w:rsidP="00EA1901">
      <w:pPr>
        <w:jc w:val="both"/>
      </w:pPr>
    </w:p>
    <w:p w14:paraId="6BFCEB48" w14:textId="4A227CBE" w:rsidR="00513C0F" w:rsidRDefault="00513C0F" w:rsidP="00EA1901">
      <w:pPr>
        <w:jc w:val="both"/>
      </w:pPr>
      <w:r>
        <w:t>As shown in the figure above, it is possible, at least for a subset of scenarios, to configure different HARQ offsets for different users so that the uplink subframes are not overloaded.</w:t>
      </w:r>
    </w:p>
    <w:p w14:paraId="1C79540A" w14:textId="1090C3F8" w:rsidR="00D07EA5" w:rsidRPr="00F465D0" w:rsidRDefault="00513C0F" w:rsidP="00F465D0">
      <w:pPr>
        <w:jc w:val="both"/>
        <w:rPr>
          <w:b/>
        </w:rPr>
      </w:pPr>
      <w:r w:rsidRPr="00DE1A9E">
        <w:rPr>
          <w:b/>
        </w:rPr>
        <w:t>Proposal 3: The HARQ offset should be configured for the users in case of EN-DC with TDD Pcell.</w:t>
      </w:r>
      <w:r w:rsidR="007A5886">
        <w:rPr>
          <w:b/>
        </w:rPr>
        <w:t xml:space="preserve"> The exact values and their applicability to different TDD DL/UL configurations should further be discussed. </w:t>
      </w:r>
    </w:p>
    <w:p w14:paraId="4AB669EC" w14:textId="22EC9D43" w:rsidR="00076547" w:rsidRPr="00DE44D6" w:rsidRDefault="00076547" w:rsidP="00076547">
      <w:pPr>
        <w:pStyle w:val="Heading1"/>
        <w:jc w:val="both"/>
        <w:rPr>
          <w:rFonts w:ascii="Times New Roman" w:hAnsi="Times New Roman"/>
        </w:rPr>
      </w:pPr>
      <w:r>
        <w:rPr>
          <w:rFonts w:ascii="Times New Roman" w:hAnsi="Times New Roman"/>
        </w:rPr>
        <w:t>Single-Tx TDM Operation for EN-DC with LTE-CA</w:t>
      </w:r>
    </w:p>
    <w:p w14:paraId="5022CAB4" w14:textId="3CFE1532" w:rsidR="00892314" w:rsidRDefault="00424AE0" w:rsidP="00EF4476">
      <w:pPr>
        <w:jc w:val="both"/>
      </w:pPr>
      <w:r>
        <w:t>In LTE-TDD CA, the downlink HARQ timing</w:t>
      </w:r>
      <w:r w:rsidR="00F3607C">
        <w:t xml:space="preserve"> reference of the secondary cell is given as a function of its SI</w:t>
      </w:r>
      <w:r w:rsidR="004030E5">
        <w:t>B1 DL/UL configuration and SIB</w:t>
      </w:r>
      <w:r w:rsidR="00F3607C">
        <w:t xml:space="preserve">1 DL/UL configuration of the Pcell. For the case of EN-DC with either the FDD-Pcell or TDD-Pcell, the downlink HARQ timing reference of a TDD </w:t>
      </w:r>
      <w:r w:rsidR="004030E5">
        <w:t xml:space="preserve">secondary cell can be determined as a function of its own SIB1 DL/UL configuration and the RRC DL/UL configuration of the Pcell. Following the Rel. 11 LTE specification, the </w:t>
      </w:r>
      <w:r w:rsidR="00781CB8">
        <w:t xml:space="preserve">DL HARQ timing reference of a TDD serving cell can be given by </w:t>
      </w:r>
      <w:r w:rsidR="00CA32CA">
        <w:t>the table below</w:t>
      </w:r>
      <w:r w:rsidR="00781CB8">
        <w:t>:</w:t>
      </w:r>
    </w:p>
    <w:p w14:paraId="7A800331" w14:textId="3D4C629D" w:rsidR="001A7D12" w:rsidRDefault="001A7D12" w:rsidP="00EF4476">
      <w:pPr>
        <w:jc w:val="both"/>
      </w:pPr>
    </w:p>
    <w:p w14:paraId="366FED17" w14:textId="77777777" w:rsidR="001A7D12" w:rsidRDefault="001A7D12" w:rsidP="00EF4476">
      <w:pPr>
        <w:jc w:val="bo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7"/>
        <w:gridCol w:w="1044"/>
        <w:gridCol w:w="853"/>
        <w:gridCol w:w="822"/>
        <w:gridCol w:w="851"/>
        <w:gridCol w:w="850"/>
        <w:gridCol w:w="881"/>
        <w:gridCol w:w="851"/>
        <w:gridCol w:w="851"/>
      </w:tblGrid>
      <w:tr w:rsidR="00781CB8" w:rsidRPr="00DD093D" w14:paraId="60F139C9" w14:textId="77777777" w:rsidTr="00EC7EDE">
        <w:trPr>
          <w:trHeight w:val="300"/>
          <w:jc w:val="center"/>
        </w:trPr>
        <w:tc>
          <w:tcPr>
            <w:tcW w:w="2611" w:type="dxa"/>
            <w:gridSpan w:val="2"/>
            <w:vMerge w:val="restart"/>
            <w:tcBorders>
              <w:top w:val="single" w:sz="4" w:space="0" w:color="auto"/>
            </w:tcBorders>
            <w:shd w:val="clear" w:color="auto" w:fill="auto"/>
            <w:noWrap/>
            <w:vAlign w:val="center"/>
          </w:tcPr>
          <w:p w14:paraId="2AC80F19" w14:textId="77777777" w:rsidR="00781CB8" w:rsidRPr="00DD093D" w:rsidRDefault="00781CB8" w:rsidP="00EC7EDE">
            <w:pPr>
              <w:spacing w:line="276" w:lineRule="auto"/>
              <w:rPr>
                <w:color w:val="000000"/>
                <w:lang w:eastAsia="zh-CN"/>
              </w:rPr>
            </w:pPr>
            <w:r w:rsidRPr="00DD093D">
              <w:rPr>
                <w:color w:val="000000"/>
                <w:lang w:eastAsia="zh-CN"/>
              </w:rPr>
              <w:t xml:space="preserve">PDSCH HARQ timing on SCell follows </w:t>
            </w:r>
            <w:r>
              <w:rPr>
                <w:rFonts w:hint="eastAsia"/>
                <w:color w:val="000000"/>
                <w:lang w:eastAsia="zh-CN"/>
              </w:rPr>
              <w:t xml:space="preserve">TDD </w:t>
            </w:r>
            <w:r w:rsidRPr="00DD093D">
              <w:rPr>
                <w:color w:val="000000"/>
                <w:lang w:eastAsia="zh-CN"/>
              </w:rPr>
              <w:t>UL-DL configuration #</w:t>
            </w:r>
            <w:r w:rsidRPr="00613391">
              <w:rPr>
                <w:color w:val="0000FF"/>
              </w:rPr>
              <w:t xml:space="preserve"> </w:t>
            </w:r>
          </w:p>
        </w:tc>
        <w:tc>
          <w:tcPr>
            <w:tcW w:w="5959" w:type="dxa"/>
            <w:gridSpan w:val="7"/>
            <w:shd w:val="clear" w:color="auto" w:fill="auto"/>
            <w:noWrap/>
            <w:vAlign w:val="center"/>
          </w:tcPr>
          <w:p w14:paraId="57F80554" w14:textId="77777777" w:rsidR="00781CB8" w:rsidRPr="00DD093D" w:rsidRDefault="00781CB8" w:rsidP="00EC7EDE">
            <w:pPr>
              <w:spacing w:line="276" w:lineRule="auto"/>
              <w:jc w:val="center"/>
              <w:rPr>
                <w:color w:val="000000"/>
                <w:lang w:eastAsia="zh-CN"/>
              </w:rPr>
            </w:pPr>
            <w:r>
              <w:rPr>
                <w:rFonts w:hint="eastAsia"/>
                <w:color w:val="000000"/>
                <w:lang w:eastAsia="zh-CN"/>
              </w:rPr>
              <w:t>P</w:t>
            </w:r>
            <w:r w:rsidRPr="00B93526">
              <w:rPr>
                <w:color w:val="000000"/>
                <w:lang w:eastAsia="zh-CN"/>
              </w:rPr>
              <w:t xml:space="preserve">cell </w:t>
            </w:r>
            <w:r w:rsidRPr="003B01CC">
              <w:rPr>
                <w:color w:val="000000"/>
                <w:lang w:eastAsia="zh-CN"/>
              </w:rPr>
              <w:t>RRC</w:t>
            </w:r>
            <w:r w:rsidRPr="00B93526">
              <w:rPr>
                <w:color w:val="000000"/>
                <w:lang w:eastAsia="zh-CN"/>
              </w:rPr>
              <w:t xml:space="preserve"> UL-DL Configuration</w:t>
            </w:r>
          </w:p>
        </w:tc>
      </w:tr>
      <w:tr w:rsidR="00781CB8" w:rsidRPr="00DD093D" w14:paraId="332A9A18" w14:textId="77777777" w:rsidTr="00EC7EDE">
        <w:trPr>
          <w:trHeight w:val="300"/>
          <w:jc w:val="center"/>
        </w:trPr>
        <w:tc>
          <w:tcPr>
            <w:tcW w:w="2611" w:type="dxa"/>
            <w:gridSpan w:val="2"/>
            <w:vMerge/>
            <w:shd w:val="clear" w:color="auto" w:fill="auto"/>
            <w:noWrap/>
            <w:vAlign w:val="bottom"/>
          </w:tcPr>
          <w:p w14:paraId="2142BECB" w14:textId="77777777" w:rsidR="00781CB8" w:rsidRPr="00DD093D" w:rsidRDefault="00781CB8" w:rsidP="00EC7EDE">
            <w:pPr>
              <w:spacing w:line="276" w:lineRule="auto"/>
              <w:rPr>
                <w:rFonts w:eastAsia="Times New Roman"/>
                <w:color w:val="000000"/>
                <w:lang w:eastAsia="ja-JP"/>
              </w:rPr>
            </w:pPr>
          </w:p>
        </w:tc>
        <w:tc>
          <w:tcPr>
            <w:tcW w:w="853" w:type="dxa"/>
            <w:shd w:val="clear" w:color="auto" w:fill="E2EFD9" w:themeFill="accent6" w:themeFillTint="33"/>
            <w:noWrap/>
            <w:vAlign w:val="bottom"/>
          </w:tcPr>
          <w:p w14:paraId="189E455E"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22" w:type="dxa"/>
            <w:shd w:val="clear" w:color="auto" w:fill="E2EFD9" w:themeFill="accent6" w:themeFillTint="33"/>
            <w:noWrap/>
            <w:vAlign w:val="bottom"/>
          </w:tcPr>
          <w:p w14:paraId="0AD7F5E7"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1" w:type="dxa"/>
            <w:shd w:val="clear" w:color="auto" w:fill="E2EFD9" w:themeFill="accent6" w:themeFillTint="33"/>
            <w:noWrap/>
            <w:vAlign w:val="bottom"/>
          </w:tcPr>
          <w:p w14:paraId="1A014EB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0" w:type="dxa"/>
            <w:shd w:val="clear" w:color="auto" w:fill="E2EFD9" w:themeFill="accent6" w:themeFillTint="33"/>
            <w:noWrap/>
            <w:vAlign w:val="bottom"/>
          </w:tcPr>
          <w:p w14:paraId="3F35E4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81" w:type="dxa"/>
            <w:shd w:val="clear" w:color="auto" w:fill="E2EFD9" w:themeFill="accent6" w:themeFillTint="33"/>
            <w:noWrap/>
            <w:vAlign w:val="bottom"/>
          </w:tcPr>
          <w:p w14:paraId="11938A89"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1" w:type="dxa"/>
            <w:shd w:val="clear" w:color="auto" w:fill="E2EFD9" w:themeFill="accent6" w:themeFillTint="33"/>
            <w:noWrap/>
            <w:vAlign w:val="bottom"/>
          </w:tcPr>
          <w:p w14:paraId="643665A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1" w:type="dxa"/>
            <w:shd w:val="clear" w:color="auto" w:fill="E2EFD9" w:themeFill="accent6" w:themeFillTint="33"/>
            <w:noWrap/>
            <w:vAlign w:val="bottom"/>
          </w:tcPr>
          <w:p w14:paraId="15E5FD14"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r>
      <w:tr w:rsidR="00781CB8" w:rsidRPr="00DD093D" w14:paraId="3758DFA2" w14:textId="77777777" w:rsidTr="00EC7EDE">
        <w:trPr>
          <w:trHeight w:val="300"/>
          <w:jc w:val="center"/>
        </w:trPr>
        <w:tc>
          <w:tcPr>
            <w:tcW w:w="1567" w:type="dxa"/>
            <w:vMerge w:val="restart"/>
            <w:shd w:val="clear" w:color="auto" w:fill="auto"/>
            <w:noWrap/>
            <w:vAlign w:val="center"/>
          </w:tcPr>
          <w:p w14:paraId="04665C8B" w14:textId="77777777" w:rsidR="00781CB8" w:rsidRPr="00DD093D" w:rsidRDefault="00781CB8" w:rsidP="00EC7EDE">
            <w:pPr>
              <w:rPr>
                <w:rFonts w:eastAsia="Times New Roman"/>
                <w:color w:val="000000"/>
                <w:lang w:eastAsia="ja-JP"/>
              </w:rPr>
            </w:pPr>
            <w:r>
              <w:rPr>
                <w:rFonts w:hint="eastAsia"/>
                <w:color w:val="000000"/>
                <w:lang w:eastAsia="zh-CN"/>
              </w:rPr>
              <w:t>Sc</w:t>
            </w:r>
            <w:r w:rsidRPr="00B93526">
              <w:rPr>
                <w:color w:val="000000"/>
                <w:lang w:eastAsia="zh-CN"/>
              </w:rPr>
              <w:t>ell SIB-1 UL-DL Configuration</w:t>
            </w:r>
          </w:p>
        </w:tc>
        <w:tc>
          <w:tcPr>
            <w:tcW w:w="1044" w:type="dxa"/>
            <w:shd w:val="clear" w:color="auto" w:fill="EDEDED" w:themeFill="accent3" w:themeFillTint="33"/>
            <w:vAlign w:val="bottom"/>
          </w:tcPr>
          <w:p w14:paraId="65F90175"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53" w:type="dxa"/>
            <w:tcBorders>
              <w:tl2br w:val="single" w:sz="4" w:space="0" w:color="000000"/>
            </w:tcBorders>
            <w:shd w:val="clear" w:color="auto" w:fill="FFFFFF" w:themeFill="background1"/>
            <w:noWrap/>
            <w:vAlign w:val="bottom"/>
          </w:tcPr>
          <w:p w14:paraId="1CB9D1DA" w14:textId="77777777" w:rsidR="00781CB8" w:rsidRPr="00DD093D" w:rsidRDefault="00781CB8" w:rsidP="00EC7EDE">
            <w:pPr>
              <w:jc w:val="center"/>
              <w:rPr>
                <w:color w:val="000000"/>
                <w:lang w:eastAsia="zh-CN"/>
              </w:rPr>
            </w:pPr>
          </w:p>
        </w:tc>
        <w:tc>
          <w:tcPr>
            <w:tcW w:w="822" w:type="dxa"/>
            <w:shd w:val="clear" w:color="auto" w:fill="DEEAF6" w:themeFill="accent1" w:themeFillTint="33"/>
            <w:noWrap/>
            <w:vAlign w:val="bottom"/>
          </w:tcPr>
          <w:p w14:paraId="1FB464B3"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6687EBF6" w14:textId="77777777" w:rsidR="00781CB8" w:rsidRPr="00DD093D" w:rsidRDefault="00781CB8" w:rsidP="00EC7EDE">
            <w:pPr>
              <w:jc w:val="center"/>
              <w:rPr>
                <w:color w:val="000000"/>
                <w:lang w:eastAsia="zh-CN"/>
              </w:rPr>
            </w:pPr>
            <w:r>
              <w:rPr>
                <w:color w:val="000000"/>
                <w:lang w:eastAsia="zh-CN"/>
              </w:rPr>
              <w:t>2</w:t>
            </w:r>
          </w:p>
        </w:tc>
        <w:tc>
          <w:tcPr>
            <w:tcW w:w="850" w:type="dxa"/>
            <w:shd w:val="clear" w:color="auto" w:fill="DEEAF6" w:themeFill="accent1" w:themeFillTint="33"/>
            <w:noWrap/>
            <w:vAlign w:val="bottom"/>
          </w:tcPr>
          <w:p w14:paraId="07741A68"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0C25B9B0"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E51475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vAlign w:val="bottom"/>
          </w:tcPr>
          <w:p w14:paraId="2F2B9DF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6</w:t>
            </w:r>
          </w:p>
        </w:tc>
      </w:tr>
      <w:tr w:rsidR="00781CB8" w14:paraId="29046B3D" w14:textId="77777777" w:rsidTr="00EC7EDE">
        <w:trPr>
          <w:trHeight w:val="300"/>
          <w:jc w:val="center"/>
        </w:trPr>
        <w:tc>
          <w:tcPr>
            <w:tcW w:w="1567" w:type="dxa"/>
            <w:vMerge/>
            <w:shd w:val="clear" w:color="auto" w:fill="auto"/>
            <w:noWrap/>
            <w:vAlign w:val="bottom"/>
          </w:tcPr>
          <w:p w14:paraId="678812D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474C12"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3" w:type="dxa"/>
            <w:shd w:val="clear" w:color="auto" w:fill="DEEAF6" w:themeFill="accent1" w:themeFillTint="33"/>
            <w:noWrap/>
            <w:vAlign w:val="bottom"/>
          </w:tcPr>
          <w:p w14:paraId="4C3E2E72" w14:textId="77777777" w:rsidR="00781CB8" w:rsidRPr="00DD093D" w:rsidRDefault="00781CB8" w:rsidP="00EC7EDE">
            <w:pPr>
              <w:jc w:val="center"/>
              <w:rPr>
                <w:color w:val="000000"/>
                <w:lang w:eastAsia="zh-CN"/>
              </w:rPr>
            </w:pPr>
            <w:r>
              <w:rPr>
                <w:color w:val="000000"/>
                <w:lang w:eastAsia="zh-CN"/>
              </w:rPr>
              <w:t>1</w:t>
            </w:r>
          </w:p>
        </w:tc>
        <w:tc>
          <w:tcPr>
            <w:tcW w:w="822" w:type="dxa"/>
            <w:tcBorders>
              <w:tl2br w:val="single" w:sz="4" w:space="0" w:color="000000"/>
            </w:tcBorders>
            <w:shd w:val="clear" w:color="auto" w:fill="FFFFFF" w:themeFill="background1"/>
            <w:noWrap/>
            <w:vAlign w:val="bottom"/>
          </w:tcPr>
          <w:p w14:paraId="0888B870"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00185F2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42082DEB" w14:textId="77777777" w:rsidR="00781CB8" w:rsidRPr="00DD093D" w:rsidRDefault="00781CB8" w:rsidP="00EC7EDE">
            <w:pPr>
              <w:jc w:val="center"/>
              <w:rPr>
                <w:color w:val="000000"/>
                <w:lang w:eastAsia="zh-CN"/>
              </w:rPr>
            </w:pPr>
            <w:r>
              <w:rPr>
                <w:color w:val="000000"/>
                <w:lang w:eastAsia="zh-CN"/>
              </w:rPr>
              <w:t>4</w:t>
            </w:r>
          </w:p>
        </w:tc>
        <w:tc>
          <w:tcPr>
            <w:tcW w:w="881" w:type="dxa"/>
            <w:shd w:val="clear" w:color="auto" w:fill="DEEAF6" w:themeFill="accent1" w:themeFillTint="33"/>
            <w:noWrap/>
            <w:vAlign w:val="bottom"/>
          </w:tcPr>
          <w:p w14:paraId="4ED671C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3D7CBD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8B4BEB1" w14:textId="77777777" w:rsidR="00781CB8" w:rsidRDefault="00781CB8" w:rsidP="00EC7EDE">
            <w:pPr>
              <w:jc w:val="center"/>
            </w:pPr>
            <w:r>
              <w:t>1</w:t>
            </w:r>
          </w:p>
        </w:tc>
      </w:tr>
      <w:tr w:rsidR="00781CB8" w14:paraId="27690006" w14:textId="77777777" w:rsidTr="00EC7EDE">
        <w:trPr>
          <w:trHeight w:val="300"/>
          <w:jc w:val="center"/>
        </w:trPr>
        <w:tc>
          <w:tcPr>
            <w:tcW w:w="1567" w:type="dxa"/>
            <w:vMerge/>
            <w:shd w:val="clear" w:color="auto" w:fill="auto"/>
            <w:noWrap/>
            <w:vAlign w:val="bottom"/>
          </w:tcPr>
          <w:p w14:paraId="2992BBF5"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D4173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3" w:type="dxa"/>
            <w:shd w:val="clear" w:color="auto" w:fill="DEEAF6" w:themeFill="accent1" w:themeFillTint="33"/>
            <w:noWrap/>
          </w:tcPr>
          <w:p w14:paraId="5300A817" w14:textId="77777777" w:rsidR="00781CB8" w:rsidRDefault="00781CB8" w:rsidP="00EC7EDE">
            <w:pPr>
              <w:jc w:val="center"/>
            </w:pPr>
            <w:r>
              <w:t>2</w:t>
            </w:r>
          </w:p>
        </w:tc>
        <w:tc>
          <w:tcPr>
            <w:tcW w:w="822" w:type="dxa"/>
            <w:shd w:val="clear" w:color="auto" w:fill="DEEAF6" w:themeFill="accent1" w:themeFillTint="33"/>
            <w:noWrap/>
            <w:vAlign w:val="bottom"/>
          </w:tcPr>
          <w:p w14:paraId="5B3D632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1" w:type="dxa"/>
            <w:tcBorders>
              <w:tl2br w:val="single" w:sz="4" w:space="0" w:color="000000"/>
            </w:tcBorders>
            <w:shd w:val="clear" w:color="auto" w:fill="FFFFFF" w:themeFill="background1"/>
            <w:noWrap/>
            <w:vAlign w:val="bottom"/>
          </w:tcPr>
          <w:p w14:paraId="5D12B9F8" w14:textId="77777777" w:rsidR="00781CB8" w:rsidRPr="00DD093D" w:rsidRDefault="00781CB8" w:rsidP="00EC7EDE">
            <w:pPr>
              <w:jc w:val="center"/>
              <w:rPr>
                <w:rFonts w:eastAsia="Times New Roman"/>
                <w:color w:val="000000"/>
                <w:lang w:eastAsia="ja-JP"/>
              </w:rPr>
            </w:pPr>
          </w:p>
        </w:tc>
        <w:tc>
          <w:tcPr>
            <w:tcW w:w="850" w:type="dxa"/>
            <w:shd w:val="clear" w:color="auto" w:fill="DEEAF6" w:themeFill="accent1" w:themeFillTint="33"/>
            <w:noWrap/>
            <w:vAlign w:val="bottom"/>
          </w:tcPr>
          <w:p w14:paraId="32754C44" w14:textId="77777777" w:rsidR="00781CB8" w:rsidRPr="00DD093D" w:rsidRDefault="00781CB8" w:rsidP="00EC7EDE">
            <w:pPr>
              <w:jc w:val="center"/>
              <w:rPr>
                <w:color w:val="000000"/>
                <w:lang w:eastAsia="zh-CN"/>
              </w:rPr>
            </w:pPr>
            <w:r>
              <w:rPr>
                <w:rFonts w:hint="eastAsia"/>
                <w:color w:val="000000"/>
                <w:lang w:eastAsia="zh-CN"/>
              </w:rPr>
              <w:t>5</w:t>
            </w:r>
          </w:p>
        </w:tc>
        <w:tc>
          <w:tcPr>
            <w:tcW w:w="881" w:type="dxa"/>
            <w:shd w:val="clear" w:color="auto" w:fill="DEEAF6" w:themeFill="accent1" w:themeFillTint="33"/>
            <w:noWrap/>
            <w:vAlign w:val="bottom"/>
          </w:tcPr>
          <w:p w14:paraId="58FB9921" w14:textId="77777777" w:rsidR="00781CB8" w:rsidRPr="00DD093D" w:rsidRDefault="00781CB8" w:rsidP="00EC7EDE">
            <w:pPr>
              <w:jc w:val="center"/>
              <w:rPr>
                <w:color w:val="000000"/>
                <w:lang w:eastAsia="zh-CN"/>
              </w:rPr>
            </w:pPr>
            <w:r>
              <w:rPr>
                <w:color w:val="000000"/>
                <w:lang w:eastAsia="zh-CN"/>
              </w:rPr>
              <w:t>5</w:t>
            </w:r>
          </w:p>
        </w:tc>
        <w:tc>
          <w:tcPr>
            <w:tcW w:w="851" w:type="dxa"/>
            <w:shd w:val="clear" w:color="auto" w:fill="DEEAF6" w:themeFill="accent1" w:themeFillTint="33"/>
            <w:noWrap/>
            <w:vAlign w:val="bottom"/>
          </w:tcPr>
          <w:p w14:paraId="472E6B51"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AD7E495" w14:textId="77777777" w:rsidR="00781CB8" w:rsidRDefault="00781CB8" w:rsidP="00EC7EDE">
            <w:pPr>
              <w:jc w:val="center"/>
            </w:pPr>
            <w:r>
              <w:t>2</w:t>
            </w:r>
          </w:p>
        </w:tc>
      </w:tr>
      <w:tr w:rsidR="00781CB8" w14:paraId="4C178738" w14:textId="77777777" w:rsidTr="00EC7EDE">
        <w:trPr>
          <w:trHeight w:val="300"/>
          <w:jc w:val="center"/>
        </w:trPr>
        <w:tc>
          <w:tcPr>
            <w:tcW w:w="1567" w:type="dxa"/>
            <w:vMerge/>
            <w:shd w:val="clear" w:color="auto" w:fill="auto"/>
            <w:noWrap/>
            <w:vAlign w:val="bottom"/>
          </w:tcPr>
          <w:p w14:paraId="02329C22"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9C6F6F"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53" w:type="dxa"/>
            <w:shd w:val="clear" w:color="auto" w:fill="DEEAF6" w:themeFill="accent1" w:themeFillTint="33"/>
            <w:noWrap/>
          </w:tcPr>
          <w:p w14:paraId="0E6BE02D" w14:textId="77777777" w:rsidR="00781CB8" w:rsidRDefault="00781CB8" w:rsidP="00EC7EDE">
            <w:pPr>
              <w:jc w:val="center"/>
            </w:pPr>
            <w:r>
              <w:t>3</w:t>
            </w:r>
          </w:p>
        </w:tc>
        <w:tc>
          <w:tcPr>
            <w:tcW w:w="822" w:type="dxa"/>
            <w:shd w:val="clear" w:color="auto" w:fill="DEEAF6" w:themeFill="accent1" w:themeFillTint="33"/>
            <w:noWrap/>
            <w:vAlign w:val="bottom"/>
          </w:tcPr>
          <w:p w14:paraId="5B83E993" w14:textId="77777777" w:rsidR="00781CB8" w:rsidRPr="00DD093D" w:rsidRDefault="00781CB8" w:rsidP="00EC7EDE">
            <w:pPr>
              <w:jc w:val="center"/>
              <w:rPr>
                <w:color w:val="000000"/>
                <w:lang w:eastAsia="zh-CN"/>
              </w:rPr>
            </w:pPr>
            <w:r>
              <w:rPr>
                <w:rFonts w:hint="eastAsia"/>
                <w:color w:val="000000"/>
                <w:lang w:eastAsia="zh-CN"/>
              </w:rPr>
              <w:t>4</w:t>
            </w:r>
          </w:p>
        </w:tc>
        <w:tc>
          <w:tcPr>
            <w:tcW w:w="851" w:type="dxa"/>
            <w:shd w:val="clear" w:color="auto" w:fill="DEEAF6" w:themeFill="accent1" w:themeFillTint="33"/>
            <w:noWrap/>
            <w:vAlign w:val="bottom"/>
          </w:tcPr>
          <w:p w14:paraId="6EA49453"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tcBorders>
              <w:tl2br w:val="single" w:sz="4" w:space="0" w:color="000000"/>
            </w:tcBorders>
            <w:shd w:val="clear" w:color="auto" w:fill="FFFFFF" w:themeFill="background1"/>
            <w:noWrap/>
            <w:vAlign w:val="bottom"/>
          </w:tcPr>
          <w:p w14:paraId="3ADB31E2" w14:textId="77777777" w:rsidR="00781CB8" w:rsidRPr="00DD093D" w:rsidRDefault="00781CB8" w:rsidP="00EC7EDE">
            <w:pPr>
              <w:jc w:val="center"/>
              <w:rPr>
                <w:rFonts w:eastAsia="Times New Roman"/>
                <w:color w:val="000000"/>
                <w:lang w:eastAsia="ja-JP"/>
              </w:rPr>
            </w:pPr>
          </w:p>
        </w:tc>
        <w:tc>
          <w:tcPr>
            <w:tcW w:w="881" w:type="dxa"/>
            <w:shd w:val="clear" w:color="auto" w:fill="DEEAF6" w:themeFill="accent1" w:themeFillTint="33"/>
            <w:noWrap/>
            <w:vAlign w:val="bottom"/>
          </w:tcPr>
          <w:p w14:paraId="06157D2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016EF0AD"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1813D678" w14:textId="77777777" w:rsidR="00781CB8" w:rsidRDefault="00781CB8" w:rsidP="00EC7EDE">
            <w:pPr>
              <w:jc w:val="center"/>
            </w:pPr>
            <w:r>
              <w:t>3</w:t>
            </w:r>
          </w:p>
        </w:tc>
      </w:tr>
      <w:tr w:rsidR="00781CB8" w14:paraId="64F3136B" w14:textId="77777777" w:rsidTr="00EC7EDE">
        <w:trPr>
          <w:trHeight w:val="300"/>
          <w:jc w:val="center"/>
        </w:trPr>
        <w:tc>
          <w:tcPr>
            <w:tcW w:w="1567" w:type="dxa"/>
            <w:vMerge/>
            <w:shd w:val="clear" w:color="auto" w:fill="auto"/>
            <w:noWrap/>
            <w:vAlign w:val="bottom"/>
          </w:tcPr>
          <w:p w14:paraId="3DAB5B9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1E51208"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3" w:type="dxa"/>
            <w:shd w:val="clear" w:color="auto" w:fill="DEEAF6" w:themeFill="accent1" w:themeFillTint="33"/>
            <w:noWrap/>
          </w:tcPr>
          <w:p w14:paraId="7BF1B1DE" w14:textId="77777777" w:rsidR="00781CB8" w:rsidRDefault="00781CB8" w:rsidP="00EC7EDE">
            <w:pPr>
              <w:jc w:val="center"/>
            </w:pPr>
            <w:r>
              <w:t>4</w:t>
            </w:r>
          </w:p>
        </w:tc>
        <w:tc>
          <w:tcPr>
            <w:tcW w:w="822" w:type="dxa"/>
            <w:shd w:val="clear" w:color="auto" w:fill="DEEAF6" w:themeFill="accent1" w:themeFillTint="33"/>
            <w:noWrap/>
            <w:vAlign w:val="bottom"/>
          </w:tcPr>
          <w:p w14:paraId="02418052"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25E48835"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shd w:val="clear" w:color="auto" w:fill="DEEAF6" w:themeFill="accent1" w:themeFillTint="33"/>
            <w:noWrap/>
            <w:vAlign w:val="bottom"/>
          </w:tcPr>
          <w:p w14:paraId="4B4A187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81" w:type="dxa"/>
            <w:tcBorders>
              <w:tl2br w:val="single" w:sz="4" w:space="0" w:color="000000"/>
            </w:tcBorders>
            <w:shd w:val="clear" w:color="auto" w:fill="FFFFFF" w:themeFill="background1"/>
            <w:noWrap/>
            <w:vAlign w:val="bottom"/>
          </w:tcPr>
          <w:p w14:paraId="749A964D"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698503D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2EF0BF99" w14:textId="77777777" w:rsidR="00781CB8" w:rsidRDefault="00781CB8" w:rsidP="00EC7EDE">
            <w:pPr>
              <w:jc w:val="center"/>
            </w:pPr>
            <w:r>
              <w:t>4</w:t>
            </w:r>
          </w:p>
        </w:tc>
      </w:tr>
      <w:tr w:rsidR="00781CB8" w14:paraId="7730783F" w14:textId="77777777" w:rsidTr="00EC7EDE">
        <w:trPr>
          <w:trHeight w:val="300"/>
          <w:jc w:val="center"/>
        </w:trPr>
        <w:tc>
          <w:tcPr>
            <w:tcW w:w="1567" w:type="dxa"/>
            <w:vMerge/>
            <w:shd w:val="clear" w:color="auto" w:fill="auto"/>
            <w:noWrap/>
            <w:vAlign w:val="bottom"/>
          </w:tcPr>
          <w:p w14:paraId="5C3CCA9C" w14:textId="77777777" w:rsidR="00781CB8" w:rsidRPr="00DD093D" w:rsidRDefault="00781CB8" w:rsidP="00EC7EDE">
            <w:pPr>
              <w:jc w:val="both"/>
              <w:rPr>
                <w:rFonts w:eastAsia="Times New Roman"/>
                <w:color w:val="000000"/>
                <w:lang w:eastAsia="ja-JP"/>
              </w:rPr>
            </w:pPr>
          </w:p>
        </w:tc>
        <w:tc>
          <w:tcPr>
            <w:tcW w:w="1044" w:type="dxa"/>
            <w:tcBorders>
              <w:top w:val="single" w:sz="4" w:space="0" w:color="auto"/>
            </w:tcBorders>
            <w:shd w:val="clear" w:color="auto" w:fill="EDEDED" w:themeFill="accent3" w:themeFillTint="33"/>
            <w:vAlign w:val="bottom"/>
          </w:tcPr>
          <w:p w14:paraId="23359B3D"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3" w:type="dxa"/>
            <w:tcBorders>
              <w:top w:val="single" w:sz="4" w:space="0" w:color="auto"/>
            </w:tcBorders>
            <w:shd w:val="clear" w:color="auto" w:fill="DEEAF6" w:themeFill="accent1" w:themeFillTint="33"/>
            <w:noWrap/>
          </w:tcPr>
          <w:p w14:paraId="5A914175" w14:textId="77777777" w:rsidR="00781CB8" w:rsidRDefault="00781CB8" w:rsidP="00EC7EDE">
            <w:pPr>
              <w:jc w:val="center"/>
            </w:pPr>
            <w:r>
              <w:t>5</w:t>
            </w:r>
          </w:p>
        </w:tc>
        <w:tc>
          <w:tcPr>
            <w:tcW w:w="822" w:type="dxa"/>
            <w:tcBorders>
              <w:top w:val="single" w:sz="4" w:space="0" w:color="auto"/>
            </w:tcBorders>
            <w:shd w:val="clear" w:color="auto" w:fill="DEEAF6" w:themeFill="accent1" w:themeFillTint="33"/>
            <w:noWrap/>
          </w:tcPr>
          <w:p w14:paraId="11891E97" w14:textId="77777777" w:rsidR="00781CB8" w:rsidRDefault="00781CB8" w:rsidP="00EC7EDE">
            <w:pPr>
              <w:jc w:val="center"/>
            </w:pPr>
            <w:r>
              <w:t>5</w:t>
            </w:r>
          </w:p>
        </w:tc>
        <w:tc>
          <w:tcPr>
            <w:tcW w:w="851" w:type="dxa"/>
            <w:tcBorders>
              <w:top w:val="single" w:sz="4" w:space="0" w:color="auto"/>
            </w:tcBorders>
            <w:shd w:val="clear" w:color="auto" w:fill="DEEAF6" w:themeFill="accent1" w:themeFillTint="33"/>
            <w:noWrap/>
          </w:tcPr>
          <w:p w14:paraId="54674EB6" w14:textId="77777777" w:rsidR="00781CB8" w:rsidRDefault="00781CB8" w:rsidP="00EC7EDE">
            <w:pPr>
              <w:jc w:val="center"/>
            </w:pPr>
            <w:r>
              <w:t>5</w:t>
            </w:r>
          </w:p>
        </w:tc>
        <w:tc>
          <w:tcPr>
            <w:tcW w:w="850" w:type="dxa"/>
            <w:tcBorders>
              <w:top w:val="single" w:sz="4" w:space="0" w:color="auto"/>
            </w:tcBorders>
            <w:shd w:val="clear" w:color="auto" w:fill="DEEAF6" w:themeFill="accent1" w:themeFillTint="33"/>
            <w:noWrap/>
          </w:tcPr>
          <w:p w14:paraId="1A437D60" w14:textId="77777777" w:rsidR="00781CB8" w:rsidRDefault="00781CB8" w:rsidP="00EC7EDE">
            <w:pPr>
              <w:jc w:val="center"/>
            </w:pPr>
            <w:r>
              <w:t>5</w:t>
            </w:r>
          </w:p>
        </w:tc>
        <w:tc>
          <w:tcPr>
            <w:tcW w:w="881" w:type="dxa"/>
            <w:tcBorders>
              <w:top w:val="single" w:sz="4" w:space="0" w:color="auto"/>
            </w:tcBorders>
            <w:shd w:val="clear" w:color="auto" w:fill="DEEAF6" w:themeFill="accent1" w:themeFillTint="33"/>
            <w:noWrap/>
          </w:tcPr>
          <w:p w14:paraId="2A2D9CE0" w14:textId="77777777" w:rsidR="00781CB8" w:rsidRDefault="00781CB8" w:rsidP="00EC7EDE">
            <w:pPr>
              <w:jc w:val="center"/>
            </w:pPr>
            <w:r>
              <w:t>5</w:t>
            </w:r>
          </w:p>
        </w:tc>
        <w:tc>
          <w:tcPr>
            <w:tcW w:w="851" w:type="dxa"/>
            <w:tcBorders>
              <w:top w:val="single" w:sz="4" w:space="0" w:color="auto"/>
              <w:tl2br w:val="single" w:sz="4" w:space="0" w:color="000000"/>
            </w:tcBorders>
            <w:shd w:val="clear" w:color="auto" w:fill="FFFFFF" w:themeFill="background1"/>
            <w:noWrap/>
            <w:vAlign w:val="bottom"/>
          </w:tcPr>
          <w:p w14:paraId="32E7FE6A" w14:textId="77777777" w:rsidR="00781CB8" w:rsidRPr="00DD093D" w:rsidRDefault="00781CB8" w:rsidP="00EC7EDE">
            <w:pPr>
              <w:jc w:val="center"/>
              <w:rPr>
                <w:rFonts w:eastAsia="Times New Roman"/>
                <w:color w:val="000000"/>
                <w:lang w:eastAsia="ja-JP"/>
              </w:rPr>
            </w:pPr>
          </w:p>
        </w:tc>
        <w:tc>
          <w:tcPr>
            <w:tcW w:w="851" w:type="dxa"/>
            <w:tcBorders>
              <w:top w:val="single" w:sz="4" w:space="0" w:color="auto"/>
            </w:tcBorders>
            <w:shd w:val="clear" w:color="auto" w:fill="DEEAF6" w:themeFill="accent1" w:themeFillTint="33"/>
            <w:noWrap/>
          </w:tcPr>
          <w:p w14:paraId="0917F576" w14:textId="77777777" w:rsidR="00781CB8" w:rsidRDefault="00781CB8" w:rsidP="00EC7EDE">
            <w:pPr>
              <w:jc w:val="center"/>
            </w:pPr>
            <w:r>
              <w:t>5</w:t>
            </w:r>
          </w:p>
        </w:tc>
      </w:tr>
      <w:tr w:rsidR="00781CB8" w:rsidRPr="00DD093D" w14:paraId="635B7897" w14:textId="77777777" w:rsidTr="00EC7EDE">
        <w:trPr>
          <w:trHeight w:val="300"/>
          <w:jc w:val="center"/>
        </w:trPr>
        <w:tc>
          <w:tcPr>
            <w:tcW w:w="1567" w:type="dxa"/>
            <w:vMerge/>
            <w:shd w:val="clear" w:color="auto" w:fill="auto"/>
            <w:noWrap/>
            <w:vAlign w:val="bottom"/>
          </w:tcPr>
          <w:p w14:paraId="1981F490"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298FEC8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c>
          <w:tcPr>
            <w:tcW w:w="853" w:type="dxa"/>
            <w:shd w:val="clear" w:color="auto" w:fill="DEEAF6" w:themeFill="accent1" w:themeFillTint="33"/>
            <w:noWrap/>
          </w:tcPr>
          <w:p w14:paraId="117234C4" w14:textId="77777777" w:rsidR="00781CB8" w:rsidRDefault="00781CB8" w:rsidP="00EC7EDE">
            <w:pPr>
              <w:jc w:val="center"/>
            </w:pPr>
            <w:r>
              <w:t>6</w:t>
            </w:r>
          </w:p>
        </w:tc>
        <w:tc>
          <w:tcPr>
            <w:tcW w:w="822" w:type="dxa"/>
            <w:shd w:val="clear" w:color="auto" w:fill="DEEAF6" w:themeFill="accent1" w:themeFillTint="33"/>
            <w:noWrap/>
            <w:vAlign w:val="bottom"/>
          </w:tcPr>
          <w:p w14:paraId="655EF361"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06ABC89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073A7E4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6A0C3413"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7136B08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tcBorders>
              <w:tl2br w:val="single" w:sz="4" w:space="0" w:color="000000"/>
            </w:tcBorders>
            <w:shd w:val="clear" w:color="auto" w:fill="FFFFFF" w:themeFill="background1"/>
            <w:noWrap/>
            <w:vAlign w:val="bottom"/>
          </w:tcPr>
          <w:p w14:paraId="5A1E9C35" w14:textId="77777777" w:rsidR="00781CB8" w:rsidRPr="00DD093D" w:rsidRDefault="00781CB8" w:rsidP="00EC7EDE">
            <w:pPr>
              <w:jc w:val="center"/>
              <w:rPr>
                <w:rFonts w:eastAsia="Times New Roman"/>
                <w:color w:val="000000"/>
                <w:lang w:eastAsia="ja-JP"/>
              </w:rPr>
            </w:pPr>
          </w:p>
        </w:tc>
      </w:tr>
    </w:tbl>
    <w:p w14:paraId="585A4EF5" w14:textId="77777777" w:rsidR="00CA32CA" w:rsidRDefault="00CA32CA" w:rsidP="00781CB8">
      <w:pPr>
        <w:rPr>
          <w:b/>
        </w:rPr>
      </w:pPr>
    </w:p>
    <w:p w14:paraId="4D9C2CAE" w14:textId="7D152D68" w:rsidR="00781CB8" w:rsidRPr="00781CB8" w:rsidRDefault="00BF469E" w:rsidP="00BF469E">
      <w:pPr>
        <w:jc w:val="both"/>
      </w:pPr>
      <w:r>
        <w:t>More specifically, if the Pcell is FDD, the DL HARQ timing of a TDD Scell is given by its own SIB-1 configuration and the DL HARQ reference configuration of the Pcell using the table above. If the Pcell is TDD, s</w:t>
      </w:r>
      <w:r w:rsidR="00A91E3B">
        <w:t xml:space="preserve">ince only DL/UL configurations </w:t>
      </w:r>
      <w:r>
        <w:t>2, 4 and 5 can be used as a reference configuration of the Pcell, the ti</w:t>
      </w:r>
      <w:r w:rsidR="00A91E3B">
        <w:t xml:space="preserve">ming of the TDD Scell is restricted to the columns of the table associated with configuration 2, 4 or 5 for the Pcell. </w:t>
      </w:r>
      <w:r w:rsidR="00781CB8">
        <w:t xml:space="preserve">An example of this operation is shown in Figure </w:t>
      </w:r>
      <w:r w:rsidR="00513C0F">
        <w:t>2</w:t>
      </w:r>
      <w:r w:rsidR="00781CB8">
        <w:t xml:space="preserve"> for the case of LTE-TDD CA.</w:t>
      </w:r>
    </w:p>
    <w:p w14:paraId="440A8D20" w14:textId="5B32D8F7" w:rsidR="00781CB8" w:rsidRDefault="00086AD4" w:rsidP="00781CB8">
      <w:pPr>
        <w:keepNext/>
        <w:jc w:val="center"/>
      </w:pPr>
      <w:r>
        <w:object w:dxaOrig="20355" w:dyaOrig="5258" w14:anchorId="164872A4">
          <v:shape id="_x0000_i1026" type="#_x0000_t75" style="width:497.5pt;height:128.5pt" o:ole="">
            <v:imagedata r:id="rId14" o:title=""/>
          </v:shape>
          <o:OLEObject Type="Embed" ProgID="Visio.Drawing.15" ShapeID="_x0000_i1026" DrawAspect="Content" ObjectID="_1618424347" r:id="rId15"/>
        </w:object>
      </w:r>
    </w:p>
    <w:p w14:paraId="3E7C04AC" w14:textId="307BEFA9" w:rsidR="00781CB8" w:rsidRDefault="00781CB8" w:rsidP="00781CB8">
      <w:pPr>
        <w:pStyle w:val="Caption"/>
        <w:jc w:val="center"/>
      </w:pPr>
      <w:r>
        <w:t xml:space="preserve">Figure </w:t>
      </w:r>
      <w:r w:rsidR="00352A75">
        <w:rPr>
          <w:noProof/>
        </w:rPr>
        <w:t>2</w:t>
      </w:r>
      <w:r>
        <w:t>: An example of downlink HARQ timing for LTE-TDD CA under EN-DC.</w:t>
      </w:r>
    </w:p>
    <w:p w14:paraId="4FAC322C" w14:textId="77777777" w:rsidR="00892314" w:rsidRPr="00892314" w:rsidRDefault="00892314" w:rsidP="00892314"/>
    <w:p w14:paraId="08556E9B" w14:textId="0A7C76A0" w:rsidR="003C0D10" w:rsidRDefault="003C0D10" w:rsidP="003C0D10">
      <w:pPr>
        <w:jc w:val="both"/>
      </w:pPr>
      <w:r>
        <w:t>In this example, the TDD Pcell has the SIB1 DL/UL configura</w:t>
      </w:r>
      <w:r w:rsidR="00A91E3B">
        <w:t xml:space="preserve">tion #3. </w:t>
      </w:r>
      <w:r w:rsidR="00CA32CA">
        <w:t>F</w:t>
      </w:r>
      <w:r>
        <w:t>or downlink HARQ timing, the Pcell is additionally configured with a reference DL/UL confgiration #4. Hence, on the Pcell, the HARQ timing is given by TDD configuration #4. The secondary serving cell has the SIB1 DL/UL configuration #2. Hence, its DL HARQ timing reference is given by the pair of configuration #2 and #4 (which is configured for the Pcell by RRC.) As a result, according to Table 1, the downlink HARQ timing of the secondary cell is based on the TDD DL/UL configuration #3.</w:t>
      </w:r>
      <w:r w:rsidR="00FF2F30">
        <w:t xml:space="preserve"> As further can be seen from this example, all LTE downlink subframes on both serving cells can be used for LTE data transmission. The LTE HARQ-ACK reporting is also limited to subframes 2 and 3 of each frame. </w:t>
      </w:r>
    </w:p>
    <w:p w14:paraId="1B5294EC" w14:textId="6E183D97" w:rsidR="00881A40" w:rsidRDefault="00881A40" w:rsidP="003C0D10">
      <w:pPr>
        <w:jc w:val="both"/>
      </w:pPr>
      <w:r>
        <w:t>Hence, we propose to modify the following two FFS points according to Proposal 4 below.</w:t>
      </w:r>
    </w:p>
    <w:p w14:paraId="15122B96" w14:textId="77777777" w:rsidR="00881A40" w:rsidRPr="007A5886" w:rsidRDefault="00881A40" w:rsidP="00881A40">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For the LTE TDD SCell with different UL/DL configuration (as in SIB1) as the TDD PCell: use the PDSCH ACK timeline for SCell as in case of LTE FDD-TDD CA with LTE TDD PCell (i.e. Table 10.1.3A-1 in 36.213)</w:t>
      </w:r>
    </w:p>
    <w:p w14:paraId="751ECD31" w14:textId="77777777" w:rsidR="00881A40" w:rsidRPr="007A5886" w:rsidRDefault="00881A40" w:rsidP="00881A40">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For the LTE TDD SCell with the same UL/DL configuration (as in SIB1) as the TDD PCell: use the same PDSCH ACK timeline as the LTE TDD PCell (i.e. Table 10.1.3.1-1 in 36.213)</w:t>
      </w:r>
    </w:p>
    <w:p w14:paraId="32FFA964" w14:textId="77777777" w:rsidR="00881A40" w:rsidRDefault="00881A40" w:rsidP="003C0D10">
      <w:pPr>
        <w:jc w:val="both"/>
      </w:pPr>
    </w:p>
    <w:p w14:paraId="3429B6F6" w14:textId="74075394" w:rsidR="00881A40" w:rsidRDefault="003D3EBB" w:rsidP="00881A40">
      <w:pPr>
        <w:jc w:val="both"/>
        <w:rPr>
          <w:b/>
        </w:rPr>
      </w:pPr>
      <w:r w:rsidRPr="00FF2F30">
        <w:rPr>
          <w:b/>
        </w:rPr>
        <w:t>Pro</w:t>
      </w:r>
      <w:r>
        <w:rPr>
          <w:b/>
        </w:rPr>
        <w:t xml:space="preserve">posal </w:t>
      </w:r>
      <w:r w:rsidR="00513C0F">
        <w:rPr>
          <w:b/>
        </w:rPr>
        <w:t>4</w:t>
      </w:r>
      <w:r w:rsidRPr="00FF2F30">
        <w:rPr>
          <w:b/>
        </w:rPr>
        <w:t xml:space="preserve">: For a UE configured with EN-DC and more than one </w:t>
      </w:r>
      <w:r>
        <w:rPr>
          <w:b/>
        </w:rPr>
        <w:t xml:space="preserve">DL </w:t>
      </w:r>
      <w:r w:rsidRPr="00FF2F30">
        <w:rPr>
          <w:b/>
        </w:rPr>
        <w:t>LTE serving cell</w:t>
      </w:r>
      <w:r w:rsidR="00881A40">
        <w:rPr>
          <w:b/>
        </w:rPr>
        <w:t xml:space="preserve">, and for a </w:t>
      </w:r>
      <w:r w:rsidR="00881A40" w:rsidRPr="00FF2F30">
        <w:rPr>
          <w:b/>
        </w:rPr>
        <w:t>TDD secondary cell</w:t>
      </w:r>
      <w:r w:rsidR="00881A40">
        <w:rPr>
          <w:b/>
        </w:rPr>
        <w:t xml:space="preserve"> with different SIB1 UL/DL configuration compared to the TDD Pcell reference HARQ configuration, t</w:t>
      </w:r>
      <w:r w:rsidRPr="00881A40">
        <w:rPr>
          <w:b/>
        </w:rPr>
        <w:t xml:space="preserve">he downlink HARQ timing reference configuration is given by the pair of its own SIB1 DL/UL configuration and the </w:t>
      </w:r>
      <w:r w:rsidR="00881A40" w:rsidRPr="00881A40">
        <w:rPr>
          <w:b/>
        </w:rPr>
        <w:t>reference DL HARQ configuration</w:t>
      </w:r>
      <w:r w:rsidRPr="00881A40">
        <w:rPr>
          <w:b/>
        </w:rPr>
        <w:t xml:space="preserve"> of the Pcell similar to the LTE TDD-TDD CA with different DL/UL configurations. </w:t>
      </w:r>
      <w:r w:rsidR="00FF2F30" w:rsidRPr="00881A40">
        <w:rPr>
          <w:b/>
        </w:rPr>
        <w:t xml:space="preserve"> </w:t>
      </w:r>
    </w:p>
    <w:p w14:paraId="39279AB1" w14:textId="6E0807FB" w:rsidR="00881A40" w:rsidRDefault="00881A40" w:rsidP="00881A40">
      <w:pPr>
        <w:pStyle w:val="Heading1"/>
        <w:jc w:val="both"/>
        <w:rPr>
          <w:rFonts w:ascii="Times New Roman" w:hAnsi="Times New Roman"/>
        </w:rPr>
      </w:pPr>
      <w:r>
        <w:rPr>
          <w:rFonts w:ascii="Times New Roman" w:hAnsi="Times New Roman"/>
        </w:rPr>
        <w:t>Supported PUCCH Formats</w:t>
      </w:r>
    </w:p>
    <w:p w14:paraId="452719ED" w14:textId="5EE12359" w:rsidR="00881A40" w:rsidRDefault="00881A40" w:rsidP="00881A40">
      <w:pPr>
        <w:rPr>
          <w:lang w:val="en-GB"/>
        </w:rPr>
      </w:pPr>
      <w:r>
        <w:rPr>
          <w:lang w:val="en-GB"/>
        </w:rPr>
        <w:t>In RAN #96b, it was agreed that:</w:t>
      </w:r>
    </w:p>
    <w:p w14:paraId="3EC75EBF" w14:textId="52B841A8" w:rsidR="00881A40" w:rsidRPr="007A5886" w:rsidRDefault="00881A40" w:rsidP="00881A40">
      <w:pPr>
        <w:pStyle w:val="ListParagraph"/>
        <w:numPr>
          <w:ilvl w:val="0"/>
          <w:numId w:val="13"/>
        </w:numPr>
        <w:jc w:val="both"/>
        <w:rPr>
          <w:rFonts w:ascii="Times New Roman" w:hAnsi="Times New Roman"/>
          <w:i/>
          <w:sz w:val="20"/>
          <w:lang w:eastAsia="x-none"/>
        </w:rPr>
      </w:pPr>
      <w:r>
        <w:rPr>
          <w:rFonts w:ascii="Times New Roman" w:hAnsi="Times New Roman"/>
          <w:i/>
          <w:sz w:val="20"/>
          <w:lang w:val="en-GB" w:eastAsia="x-none"/>
        </w:rPr>
        <w:t>“</w:t>
      </w:r>
      <w:r w:rsidRPr="007A5886">
        <w:rPr>
          <w:rFonts w:ascii="Times New Roman" w:hAnsi="Times New Roman"/>
          <w:i/>
          <w:sz w:val="20"/>
          <w:lang w:val="en-GB" w:eastAsia="x-none"/>
        </w:rPr>
        <w:t>For single UL operation in EN-DC with LTE TDD PCell, and UE is configured with DL-reference UL/DL configuration</w:t>
      </w:r>
      <w:r>
        <w:rPr>
          <w:rFonts w:ascii="Times New Roman" w:hAnsi="Times New Roman"/>
          <w:i/>
          <w:sz w:val="20"/>
          <w:lang w:val="en-GB" w:eastAsia="x-none"/>
        </w:rPr>
        <w:t>:</w:t>
      </w:r>
    </w:p>
    <w:p w14:paraId="018AA0A7" w14:textId="77777777" w:rsidR="00881A40" w:rsidRPr="007A5886" w:rsidRDefault="00881A40" w:rsidP="00881A40">
      <w:pPr>
        <w:pStyle w:val="ListParagraph"/>
        <w:numPr>
          <w:ilvl w:val="1"/>
          <w:numId w:val="13"/>
        </w:numPr>
        <w:jc w:val="both"/>
        <w:rPr>
          <w:rFonts w:ascii="Times New Roman" w:hAnsi="Times New Roman"/>
          <w:i/>
          <w:sz w:val="20"/>
          <w:lang w:eastAsia="x-none"/>
        </w:rPr>
      </w:pPr>
      <w:r w:rsidRPr="007A5886">
        <w:rPr>
          <w:rFonts w:ascii="Times New Roman" w:hAnsi="Times New Roman"/>
          <w:i/>
          <w:sz w:val="20"/>
          <w:lang w:val="en-GB" w:eastAsia="x-none"/>
        </w:rPr>
        <w:t>Support PUCCH formats 3/4/5, PUCCH fallback operation based on implicit resource indication is not supported.</w:t>
      </w:r>
    </w:p>
    <w:p w14:paraId="3E41E349" w14:textId="77777777" w:rsidR="00881A40"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PUCCH format and resource determination when the UE only receives DAI=1</w:t>
      </w:r>
    </w:p>
    <w:p w14:paraId="00B93F57" w14:textId="192E571F" w:rsidR="00881A40" w:rsidRPr="00881A40"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whether or not there are any additional issues related to SPS</w:t>
      </w:r>
      <w:r>
        <w:rPr>
          <w:rFonts w:ascii="Times New Roman" w:hAnsi="Times New Roman"/>
          <w:i/>
          <w:sz w:val="20"/>
          <w:lang w:val="en-GB" w:eastAsia="x-none"/>
        </w:rPr>
        <w:t>”</w:t>
      </w:r>
    </w:p>
    <w:p w14:paraId="21D110F6" w14:textId="015E7239" w:rsidR="00881A40" w:rsidRDefault="00881A40" w:rsidP="00881A40">
      <w:pPr>
        <w:jc w:val="both"/>
        <w:rPr>
          <w:i/>
          <w:lang w:eastAsia="x-none"/>
        </w:rPr>
      </w:pPr>
    </w:p>
    <w:p w14:paraId="1F50A62A" w14:textId="78BBB1E3" w:rsidR="00881A40" w:rsidRDefault="00881A40" w:rsidP="00881A40">
      <w:pPr>
        <w:jc w:val="both"/>
        <w:rPr>
          <w:i/>
          <w:lang w:eastAsia="x-none"/>
        </w:rPr>
      </w:pPr>
      <w:r>
        <w:rPr>
          <w:i/>
          <w:lang w:eastAsia="x-none"/>
        </w:rPr>
        <w:t>In Rel. 15, for EN-DC with an FDD Pcell, only PUCCH formats 3/4/5 are supported and the fallback operation based on implicit resource indicatiom, even when DAI = 1, is not supported. Similarly, in Rel. 16, there is no need for further optimization.</w:t>
      </w:r>
    </w:p>
    <w:p w14:paraId="7FD5D8F3" w14:textId="4EEA4CA9" w:rsidR="00881A40" w:rsidRPr="00881A40" w:rsidRDefault="00881A40" w:rsidP="00881A40">
      <w:pPr>
        <w:jc w:val="both"/>
        <w:rPr>
          <w:b/>
          <w:lang w:eastAsia="x-none"/>
        </w:rPr>
      </w:pPr>
      <w:r w:rsidRPr="00881A40">
        <w:rPr>
          <w:b/>
          <w:lang w:eastAsia="x-none"/>
        </w:rPr>
        <w:t>Proposal 5: For EN-DC with TDD-Pcell, only PUCCH formats 3/4/5 without the fallback operation are supported.</w:t>
      </w:r>
    </w:p>
    <w:p w14:paraId="1D923B10" w14:textId="388FB7B5" w:rsidR="003A3006" w:rsidRDefault="00B53AB0" w:rsidP="00F03EDF">
      <w:pPr>
        <w:pStyle w:val="Heading1"/>
        <w:jc w:val="both"/>
        <w:rPr>
          <w:rFonts w:ascii="Times New Roman" w:hAnsi="Times New Roman"/>
        </w:rPr>
      </w:pPr>
      <w:r>
        <w:rPr>
          <w:rFonts w:ascii="Times New Roman" w:hAnsi="Times New Roman"/>
        </w:rPr>
        <w:lastRenderedPageBreak/>
        <w:t>Conclusion</w:t>
      </w:r>
    </w:p>
    <w:p w14:paraId="40E5DD15" w14:textId="77777777" w:rsidR="005A0585" w:rsidRDefault="005A0585" w:rsidP="005A0585">
      <w:pPr>
        <w:jc w:val="both"/>
        <w:rPr>
          <w:b/>
        </w:rPr>
      </w:pPr>
      <w:r w:rsidRPr="00DE1A9E">
        <w:rPr>
          <w:b/>
        </w:rPr>
        <w:t>Proposal 1: For single tx switched UL in EN-DC with TDD P</w:t>
      </w:r>
      <w:r>
        <w:rPr>
          <w:b/>
        </w:rPr>
        <w:t>c</w:t>
      </w:r>
      <w:r w:rsidRPr="00DE1A9E">
        <w:rPr>
          <w:b/>
        </w:rPr>
        <w:t>ell</w:t>
      </w:r>
      <w:r>
        <w:rPr>
          <w:b/>
        </w:rPr>
        <w:t>,</w:t>
      </w:r>
      <w:r w:rsidRPr="0061730B">
        <w:rPr>
          <w:b/>
        </w:rPr>
        <w:t xml:space="preserve"> </w:t>
      </w:r>
      <w:r>
        <w:rPr>
          <w:b/>
        </w:rPr>
        <w:t>t</w:t>
      </w:r>
      <w:r w:rsidRPr="00DE1A9E">
        <w:rPr>
          <w:b/>
        </w:rPr>
        <w:t xml:space="preserve">he </w:t>
      </w:r>
      <w:r>
        <w:rPr>
          <w:b/>
        </w:rPr>
        <w:t xml:space="preserve">type 1 </w:t>
      </w:r>
      <w:r w:rsidRPr="00DE1A9E">
        <w:rPr>
          <w:b/>
        </w:rPr>
        <w:t xml:space="preserve">UE should consider LTE and NR uplink collisions either as </w:t>
      </w:r>
      <w:r>
        <w:rPr>
          <w:b/>
        </w:rPr>
        <w:t xml:space="preserve">an </w:t>
      </w:r>
      <w:r w:rsidRPr="00DE1A9E">
        <w:rPr>
          <w:b/>
        </w:rPr>
        <w:t>error case</w:t>
      </w:r>
      <w:r>
        <w:rPr>
          <w:b/>
        </w:rPr>
        <w:t xml:space="preserve"> or should drop the NR transmission</w:t>
      </w:r>
      <w:r w:rsidRPr="00DE1A9E">
        <w:rPr>
          <w:b/>
        </w:rPr>
        <w:t xml:space="preserve">. </w:t>
      </w:r>
    </w:p>
    <w:p w14:paraId="43276934" w14:textId="6E7AF904" w:rsidR="00CA32CA" w:rsidRDefault="00CA32CA" w:rsidP="00CA32CA">
      <w:pPr>
        <w:jc w:val="both"/>
        <w:rPr>
          <w:b/>
          <w:lang w:eastAsia="zh-CN"/>
        </w:rPr>
      </w:pPr>
      <w:r>
        <w:rPr>
          <w:b/>
        </w:rPr>
        <w:t xml:space="preserve">Proposal 2: </w:t>
      </w:r>
      <w:r w:rsidRPr="009421C2">
        <w:rPr>
          <w:b/>
        </w:rPr>
        <w:t xml:space="preserve">For single tx switched UL in EN-DC with </w:t>
      </w:r>
      <w:r>
        <w:rPr>
          <w:b/>
        </w:rPr>
        <w:t>F</w:t>
      </w:r>
      <w:r w:rsidRPr="009421C2">
        <w:rPr>
          <w:b/>
        </w:rPr>
        <w:t>DD P</w:t>
      </w:r>
      <w:r>
        <w:rPr>
          <w:b/>
        </w:rPr>
        <w:t>c</w:t>
      </w:r>
      <w:r w:rsidRPr="009421C2">
        <w:rPr>
          <w:b/>
        </w:rPr>
        <w:t>ell</w:t>
      </w:r>
      <w:r>
        <w:rPr>
          <w:b/>
        </w:rPr>
        <w:t xml:space="preserve">, the type 1 UE should not </w:t>
      </w:r>
      <w:r w:rsidRPr="009421C2">
        <w:rPr>
          <w:b/>
          <w:lang w:eastAsia="zh-CN"/>
        </w:rPr>
        <w:t xml:space="preserve">assume that LTE PUSCH is only scheduled in the UL subframes configured by the </w:t>
      </w:r>
      <w:r>
        <w:rPr>
          <w:b/>
          <w:lang w:eastAsia="zh-CN"/>
        </w:rPr>
        <w:t xml:space="preserve">downlink </w:t>
      </w:r>
      <w:r w:rsidRPr="009421C2">
        <w:rPr>
          <w:b/>
          <w:lang w:eastAsia="zh-CN"/>
        </w:rPr>
        <w:t>reference configuration</w:t>
      </w:r>
      <w:r>
        <w:rPr>
          <w:b/>
          <w:lang w:eastAsia="zh-CN"/>
        </w:rPr>
        <w:t>.</w:t>
      </w:r>
    </w:p>
    <w:p w14:paraId="744FDF6C" w14:textId="77777777" w:rsidR="00E43F51" w:rsidRPr="00F465D0" w:rsidRDefault="00E43F51" w:rsidP="00E43F51">
      <w:pPr>
        <w:jc w:val="both"/>
        <w:rPr>
          <w:b/>
        </w:rPr>
      </w:pPr>
      <w:r w:rsidRPr="00DE1A9E">
        <w:rPr>
          <w:b/>
        </w:rPr>
        <w:t>Proposal 3: The HARQ offset should be configured for the users in case of EN-DC with TDD Pcell.</w:t>
      </w:r>
      <w:r>
        <w:rPr>
          <w:b/>
        </w:rPr>
        <w:t xml:space="preserve"> The exact values and their applicability to different TDD DL/UL configurations should further be discussed. </w:t>
      </w:r>
    </w:p>
    <w:p w14:paraId="7D7E20FF" w14:textId="77777777" w:rsidR="00881A40" w:rsidRPr="00881A40" w:rsidRDefault="00881A40" w:rsidP="00881A40">
      <w:pPr>
        <w:jc w:val="both"/>
        <w:rPr>
          <w:b/>
        </w:rPr>
      </w:pPr>
      <w:r w:rsidRPr="00FF2F30">
        <w:rPr>
          <w:b/>
        </w:rPr>
        <w:t>Pro</w:t>
      </w:r>
      <w:r>
        <w:rPr>
          <w:b/>
        </w:rPr>
        <w:t>posal 4</w:t>
      </w:r>
      <w:r w:rsidRPr="00FF2F30">
        <w:rPr>
          <w:b/>
        </w:rPr>
        <w:t xml:space="preserve">: For a UE configured with EN-DC and more than one </w:t>
      </w:r>
      <w:r>
        <w:rPr>
          <w:b/>
        </w:rPr>
        <w:t xml:space="preserve">DL </w:t>
      </w:r>
      <w:r w:rsidRPr="00FF2F30">
        <w:rPr>
          <w:b/>
        </w:rPr>
        <w:t>LTE serving cell</w:t>
      </w:r>
      <w:r>
        <w:rPr>
          <w:b/>
        </w:rPr>
        <w:t xml:space="preserve">, and for a </w:t>
      </w:r>
      <w:r w:rsidRPr="00FF2F30">
        <w:rPr>
          <w:b/>
        </w:rPr>
        <w:t>TDD secondary cell</w:t>
      </w:r>
      <w:r>
        <w:rPr>
          <w:b/>
        </w:rPr>
        <w:t xml:space="preserve"> with different SIB1 UL/DL configuration compared to the TDD Pcell reference HARQ configuration, t</w:t>
      </w:r>
      <w:r w:rsidRPr="00881A40">
        <w:rPr>
          <w:b/>
        </w:rPr>
        <w:t xml:space="preserve">he downlink HARQ timing reference configuration is given by the pair of its own SIB1 DL/UL configuration and the reference DL HARQ configuration of the Pcell similar to the LTE TDD-TDD CA with different DL/UL configurations.  </w:t>
      </w:r>
    </w:p>
    <w:p w14:paraId="0D8BD035" w14:textId="77777777" w:rsidR="00881A40" w:rsidRPr="00881A40" w:rsidRDefault="00881A40" w:rsidP="00881A40">
      <w:pPr>
        <w:jc w:val="both"/>
        <w:rPr>
          <w:b/>
          <w:lang w:eastAsia="x-none"/>
        </w:rPr>
      </w:pPr>
      <w:r w:rsidRPr="00881A40">
        <w:rPr>
          <w:b/>
          <w:lang w:eastAsia="x-none"/>
        </w:rPr>
        <w:t>Proposal 5: For EN-DC with TDD-Pcell, only PUCCH formats 3/4/5 without the fallback operation are supported.</w:t>
      </w:r>
    </w:p>
    <w:p w14:paraId="71DE8810" w14:textId="0F19C1BB" w:rsidR="004F054A" w:rsidRPr="006838AD" w:rsidRDefault="004F054A" w:rsidP="0090183C">
      <w:pPr>
        <w:jc w:val="both"/>
        <w:rPr>
          <w:b/>
          <w:bCs/>
          <w:sz w:val="22"/>
          <w:szCs w:val="22"/>
          <w:lang w:val="en-GB"/>
        </w:rPr>
      </w:pPr>
    </w:p>
    <w:p w14:paraId="19859383" w14:textId="05FE287D" w:rsidR="00DA24FA" w:rsidRPr="007C5EB9" w:rsidRDefault="00DA24FA" w:rsidP="000C7BB0">
      <w:pPr>
        <w:pStyle w:val="Caption"/>
        <w:rPr>
          <w:sz w:val="22"/>
          <w:szCs w:val="22"/>
        </w:rPr>
      </w:pPr>
      <w:bookmarkStart w:id="3" w:name="_Ref450583331"/>
      <w:bookmarkEnd w:id="3"/>
    </w:p>
    <w:sectPr w:rsidR="00DA24FA" w:rsidRPr="007C5EB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77870" w14:textId="77777777" w:rsidR="00E740A4" w:rsidRDefault="00E740A4">
      <w:r>
        <w:separator/>
      </w:r>
    </w:p>
  </w:endnote>
  <w:endnote w:type="continuationSeparator" w:id="0">
    <w:p w14:paraId="2940B5FF" w14:textId="77777777" w:rsidR="00E740A4" w:rsidRDefault="00E740A4">
      <w:r>
        <w:continuationSeparator/>
      </w:r>
    </w:p>
  </w:endnote>
  <w:endnote w:type="continuationNotice" w:id="1">
    <w:p w14:paraId="419873BD" w14:textId="77777777" w:rsidR="00E740A4" w:rsidRDefault="00E74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55A5A" w14:textId="77777777" w:rsidR="00E740A4" w:rsidRDefault="00E740A4">
      <w:r>
        <w:separator/>
      </w:r>
    </w:p>
  </w:footnote>
  <w:footnote w:type="continuationSeparator" w:id="0">
    <w:p w14:paraId="53B5C501" w14:textId="77777777" w:rsidR="00E740A4" w:rsidRDefault="00E740A4">
      <w:r>
        <w:continuationSeparator/>
      </w:r>
    </w:p>
  </w:footnote>
  <w:footnote w:type="continuationNotice" w:id="1">
    <w:p w14:paraId="47014684" w14:textId="77777777" w:rsidR="00E740A4" w:rsidRDefault="00E74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7772CE"/>
    <w:multiLevelType w:val="hybridMultilevel"/>
    <w:tmpl w:val="5186EBD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C7E4E9E"/>
    <w:multiLevelType w:val="hybridMultilevel"/>
    <w:tmpl w:val="B1B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9847D5"/>
    <w:multiLevelType w:val="hybridMultilevel"/>
    <w:tmpl w:val="DB8AC54A"/>
    <w:lvl w:ilvl="0" w:tplc="1B0CED20">
      <w:start w:val="1"/>
      <w:numFmt w:val="bullet"/>
      <w:lvlText w:val=""/>
      <w:lvlJc w:val="left"/>
      <w:pPr>
        <w:tabs>
          <w:tab w:val="num" w:pos="720"/>
        </w:tabs>
        <w:ind w:left="720" w:hanging="360"/>
      </w:pPr>
      <w:rPr>
        <w:rFonts w:ascii="Symbol" w:hAnsi="Symbol" w:hint="default"/>
      </w:rPr>
    </w:lvl>
    <w:lvl w:ilvl="1" w:tplc="8324766C">
      <w:start w:val="217"/>
      <w:numFmt w:val="bullet"/>
      <w:lvlText w:val="−"/>
      <w:lvlJc w:val="left"/>
      <w:pPr>
        <w:tabs>
          <w:tab w:val="num" w:pos="1440"/>
        </w:tabs>
        <w:ind w:left="1440" w:hanging="360"/>
      </w:pPr>
      <w:rPr>
        <w:rFonts w:ascii="Calibre Regular" w:hAnsi="Calibre Regular" w:hint="default"/>
      </w:rPr>
    </w:lvl>
    <w:lvl w:ilvl="2" w:tplc="753E4848">
      <w:start w:val="217"/>
      <w:numFmt w:val="bullet"/>
      <w:lvlText w:val="−"/>
      <w:lvlJc w:val="left"/>
      <w:pPr>
        <w:tabs>
          <w:tab w:val="num" w:pos="2160"/>
        </w:tabs>
        <w:ind w:left="2160" w:hanging="360"/>
      </w:pPr>
      <w:rPr>
        <w:rFonts w:ascii="Calibre Regular" w:hAnsi="Calibre Regular" w:hint="default"/>
      </w:rPr>
    </w:lvl>
    <w:lvl w:ilvl="3" w:tplc="743A44E0">
      <w:start w:val="217"/>
      <w:numFmt w:val="bullet"/>
      <w:lvlText w:val="−"/>
      <w:lvlJc w:val="left"/>
      <w:pPr>
        <w:tabs>
          <w:tab w:val="num" w:pos="2880"/>
        </w:tabs>
        <w:ind w:left="2880" w:hanging="360"/>
      </w:pPr>
      <w:rPr>
        <w:rFonts w:ascii="Calibre Regular" w:hAnsi="Calibre Regular" w:hint="default"/>
      </w:rPr>
    </w:lvl>
    <w:lvl w:ilvl="4" w:tplc="D0BAF1E6" w:tentative="1">
      <w:start w:val="1"/>
      <w:numFmt w:val="bullet"/>
      <w:lvlText w:val=""/>
      <w:lvlJc w:val="left"/>
      <w:pPr>
        <w:tabs>
          <w:tab w:val="num" w:pos="3600"/>
        </w:tabs>
        <w:ind w:left="3600" w:hanging="360"/>
      </w:pPr>
      <w:rPr>
        <w:rFonts w:ascii="Symbol" w:hAnsi="Symbol" w:hint="default"/>
      </w:rPr>
    </w:lvl>
    <w:lvl w:ilvl="5" w:tplc="847858CA" w:tentative="1">
      <w:start w:val="1"/>
      <w:numFmt w:val="bullet"/>
      <w:lvlText w:val=""/>
      <w:lvlJc w:val="left"/>
      <w:pPr>
        <w:tabs>
          <w:tab w:val="num" w:pos="4320"/>
        </w:tabs>
        <w:ind w:left="4320" w:hanging="360"/>
      </w:pPr>
      <w:rPr>
        <w:rFonts w:ascii="Symbol" w:hAnsi="Symbol" w:hint="default"/>
      </w:rPr>
    </w:lvl>
    <w:lvl w:ilvl="6" w:tplc="CA862B02" w:tentative="1">
      <w:start w:val="1"/>
      <w:numFmt w:val="bullet"/>
      <w:lvlText w:val=""/>
      <w:lvlJc w:val="left"/>
      <w:pPr>
        <w:tabs>
          <w:tab w:val="num" w:pos="5040"/>
        </w:tabs>
        <w:ind w:left="5040" w:hanging="360"/>
      </w:pPr>
      <w:rPr>
        <w:rFonts w:ascii="Symbol" w:hAnsi="Symbol" w:hint="default"/>
      </w:rPr>
    </w:lvl>
    <w:lvl w:ilvl="7" w:tplc="7506CA28" w:tentative="1">
      <w:start w:val="1"/>
      <w:numFmt w:val="bullet"/>
      <w:lvlText w:val=""/>
      <w:lvlJc w:val="left"/>
      <w:pPr>
        <w:tabs>
          <w:tab w:val="num" w:pos="5760"/>
        </w:tabs>
        <w:ind w:left="5760" w:hanging="360"/>
      </w:pPr>
      <w:rPr>
        <w:rFonts w:ascii="Symbol" w:hAnsi="Symbol" w:hint="default"/>
      </w:rPr>
    </w:lvl>
    <w:lvl w:ilvl="8" w:tplc="D828216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FC16C79"/>
    <w:multiLevelType w:val="hybridMultilevel"/>
    <w:tmpl w:val="758E599A"/>
    <w:lvl w:ilvl="0" w:tplc="D76A8EB0">
      <w:start w:val="1"/>
      <w:numFmt w:val="bullet"/>
      <w:lvlText w:val=""/>
      <w:lvlJc w:val="left"/>
      <w:pPr>
        <w:tabs>
          <w:tab w:val="num" w:pos="720"/>
        </w:tabs>
        <w:ind w:left="720" w:hanging="360"/>
      </w:pPr>
      <w:rPr>
        <w:rFonts w:ascii="Symbol" w:hAnsi="Symbol" w:hint="default"/>
      </w:rPr>
    </w:lvl>
    <w:lvl w:ilvl="1" w:tplc="961C5EFE">
      <w:start w:val="217"/>
      <w:numFmt w:val="bullet"/>
      <w:lvlText w:val="−"/>
      <w:lvlJc w:val="left"/>
      <w:pPr>
        <w:tabs>
          <w:tab w:val="num" w:pos="1440"/>
        </w:tabs>
        <w:ind w:left="1440" w:hanging="360"/>
      </w:pPr>
      <w:rPr>
        <w:rFonts w:ascii="Calibre Regular" w:hAnsi="Calibre Regular" w:hint="default"/>
      </w:rPr>
    </w:lvl>
    <w:lvl w:ilvl="2" w:tplc="973E90DA">
      <w:start w:val="217"/>
      <w:numFmt w:val="bullet"/>
      <w:lvlText w:val="−"/>
      <w:lvlJc w:val="left"/>
      <w:pPr>
        <w:tabs>
          <w:tab w:val="num" w:pos="2160"/>
        </w:tabs>
        <w:ind w:left="2160" w:hanging="360"/>
      </w:pPr>
      <w:rPr>
        <w:rFonts w:ascii="Calibre Regular" w:hAnsi="Calibre Regular" w:hint="default"/>
      </w:rPr>
    </w:lvl>
    <w:lvl w:ilvl="3" w:tplc="87EAB862" w:tentative="1">
      <w:start w:val="1"/>
      <w:numFmt w:val="bullet"/>
      <w:lvlText w:val=""/>
      <w:lvlJc w:val="left"/>
      <w:pPr>
        <w:tabs>
          <w:tab w:val="num" w:pos="2880"/>
        </w:tabs>
        <w:ind w:left="2880" w:hanging="360"/>
      </w:pPr>
      <w:rPr>
        <w:rFonts w:ascii="Symbol" w:hAnsi="Symbol" w:hint="default"/>
      </w:rPr>
    </w:lvl>
    <w:lvl w:ilvl="4" w:tplc="19ECB500" w:tentative="1">
      <w:start w:val="1"/>
      <w:numFmt w:val="bullet"/>
      <w:lvlText w:val=""/>
      <w:lvlJc w:val="left"/>
      <w:pPr>
        <w:tabs>
          <w:tab w:val="num" w:pos="3600"/>
        </w:tabs>
        <w:ind w:left="3600" w:hanging="360"/>
      </w:pPr>
      <w:rPr>
        <w:rFonts w:ascii="Symbol" w:hAnsi="Symbol" w:hint="default"/>
      </w:rPr>
    </w:lvl>
    <w:lvl w:ilvl="5" w:tplc="659A5188" w:tentative="1">
      <w:start w:val="1"/>
      <w:numFmt w:val="bullet"/>
      <w:lvlText w:val=""/>
      <w:lvlJc w:val="left"/>
      <w:pPr>
        <w:tabs>
          <w:tab w:val="num" w:pos="4320"/>
        </w:tabs>
        <w:ind w:left="4320" w:hanging="360"/>
      </w:pPr>
      <w:rPr>
        <w:rFonts w:ascii="Symbol" w:hAnsi="Symbol" w:hint="default"/>
      </w:rPr>
    </w:lvl>
    <w:lvl w:ilvl="6" w:tplc="3968BCB2" w:tentative="1">
      <w:start w:val="1"/>
      <w:numFmt w:val="bullet"/>
      <w:lvlText w:val=""/>
      <w:lvlJc w:val="left"/>
      <w:pPr>
        <w:tabs>
          <w:tab w:val="num" w:pos="5040"/>
        </w:tabs>
        <w:ind w:left="5040" w:hanging="360"/>
      </w:pPr>
      <w:rPr>
        <w:rFonts w:ascii="Symbol" w:hAnsi="Symbol" w:hint="default"/>
      </w:rPr>
    </w:lvl>
    <w:lvl w:ilvl="7" w:tplc="6C5ECBE6" w:tentative="1">
      <w:start w:val="1"/>
      <w:numFmt w:val="bullet"/>
      <w:lvlText w:val=""/>
      <w:lvlJc w:val="left"/>
      <w:pPr>
        <w:tabs>
          <w:tab w:val="num" w:pos="5760"/>
        </w:tabs>
        <w:ind w:left="5760" w:hanging="360"/>
      </w:pPr>
      <w:rPr>
        <w:rFonts w:ascii="Symbol" w:hAnsi="Symbol" w:hint="default"/>
      </w:rPr>
    </w:lvl>
    <w:lvl w:ilvl="8" w:tplc="E8C67AC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C81FB8"/>
    <w:multiLevelType w:val="hybridMultilevel"/>
    <w:tmpl w:val="018CB382"/>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78019B"/>
    <w:multiLevelType w:val="hybridMultilevel"/>
    <w:tmpl w:val="7318C6A2"/>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lvlOverride w:ilvl="0">
      <w:startOverride w:val="1"/>
    </w:lvlOverride>
  </w:num>
  <w:num w:numId="4">
    <w:abstractNumId w:val="7"/>
  </w:num>
  <w:num w:numId="5">
    <w:abstractNumId w:val="2"/>
  </w:num>
  <w:num w:numId="6">
    <w:abstractNumId w:val="13"/>
  </w:num>
  <w:num w:numId="7">
    <w:abstractNumId w:val="3"/>
  </w:num>
  <w:num w:numId="8">
    <w:abstractNumId w:val="5"/>
  </w:num>
  <w:num w:numId="9">
    <w:abstractNumId w:val="10"/>
  </w:num>
  <w:num w:numId="10">
    <w:abstractNumId w:val="8"/>
  </w:num>
  <w:num w:numId="11">
    <w:abstractNumId w:val="9"/>
  </w:num>
  <w:num w:numId="12">
    <w:abstractNumId w:val="12"/>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3A2E"/>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34"/>
    <w:rsid w:val="00076547"/>
    <w:rsid w:val="00076608"/>
    <w:rsid w:val="00076759"/>
    <w:rsid w:val="00076C6C"/>
    <w:rsid w:val="00077073"/>
    <w:rsid w:val="00077800"/>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AD4"/>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52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AA0"/>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A7D12"/>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EF"/>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CE8"/>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F1"/>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0D"/>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5C5"/>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1E0"/>
    <w:rsid w:val="00352759"/>
    <w:rsid w:val="00352828"/>
    <w:rsid w:val="00352952"/>
    <w:rsid w:val="00352A75"/>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CA7"/>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BB"/>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BEF"/>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56E"/>
    <w:rsid w:val="00411662"/>
    <w:rsid w:val="004116C3"/>
    <w:rsid w:val="004118A8"/>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9A"/>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06A"/>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6F96"/>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421"/>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C0F"/>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0DA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26"/>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85"/>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0B"/>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022"/>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4E"/>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38"/>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7E5"/>
    <w:rsid w:val="006709F4"/>
    <w:rsid w:val="00670AD6"/>
    <w:rsid w:val="00670ECD"/>
    <w:rsid w:val="00671010"/>
    <w:rsid w:val="0067106A"/>
    <w:rsid w:val="0067138E"/>
    <w:rsid w:val="006713AE"/>
    <w:rsid w:val="00671B4F"/>
    <w:rsid w:val="00671CA8"/>
    <w:rsid w:val="006725CC"/>
    <w:rsid w:val="0067261D"/>
    <w:rsid w:val="0067273D"/>
    <w:rsid w:val="00672966"/>
    <w:rsid w:val="006733E3"/>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B44"/>
    <w:rsid w:val="00714065"/>
    <w:rsid w:val="00714186"/>
    <w:rsid w:val="00714312"/>
    <w:rsid w:val="0071459D"/>
    <w:rsid w:val="00714796"/>
    <w:rsid w:val="00714CA1"/>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2EDB"/>
    <w:rsid w:val="007A32E9"/>
    <w:rsid w:val="007A3395"/>
    <w:rsid w:val="007A3505"/>
    <w:rsid w:val="007A3BF2"/>
    <w:rsid w:val="007A4338"/>
    <w:rsid w:val="007A4AF1"/>
    <w:rsid w:val="007A4B32"/>
    <w:rsid w:val="007A5050"/>
    <w:rsid w:val="007A5288"/>
    <w:rsid w:val="007A5886"/>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504"/>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2E3A"/>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40"/>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555"/>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5E1"/>
    <w:rsid w:val="008C4B47"/>
    <w:rsid w:val="008C570A"/>
    <w:rsid w:val="008C59D5"/>
    <w:rsid w:val="008C5B10"/>
    <w:rsid w:val="008C61A7"/>
    <w:rsid w:val="008C6780"/>
    <w:rsid w:val="008C6970"/>
    <w:rsid w:val="008C698E"/>
    <w:rsid w:val="008C6BC6"/>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281"/>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70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E3B"/>
    <w:rsid w:val="00A91F3E"/>
    <w:rsid w:val="00A92457"/>
    <w:rsid w:val="00A927EE"/>
    <w:rsid w:val="00A92B81"/>
    <w:rsid w:val="00A934FE"/>
    <w:rsid w:val="00A93800"/>
    <w:rsid w:val="00A938E5"/>
    <w:rsid w:val="00A93942"/>
    <w:rsid w:val="00A93BDA"/>
    <w:rsid w:val="00A93E34"/>
    <w:rsid w:val="00A93FAE"/>
    <w:rsid w:val="00A94A70"/>
    <w:rsid w:val="00A94BB8"/>
    <w:rsid w:val="00A94F1E"/>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A92"/>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174"/>
    <w:rsid w:val="00B772AA"/>
    <w:rsid w:val="00B774CC"/>
    <w:rsid w:val="00B77B57"/>
    <w:rsid w:val="00B77D8A"/>
    <w:rsid w:val="00B8053A"/>
    <w:rsid w:val="00B80795"/>
    <w:rsid w:val="00B80797"/>
    <w:rsid w:val="00B80F5B"/>
    <w:rsid w:val="00B8103A"/>
    <w:rsid w:val="00B81578"/>
    <w:rsid w:val="00B81684"/>
    <w:rsid w:val="00B817F4"/>
    <w:rsid w:val="00B8191A"/>
    <w:rsid w:val="00B81C56"/>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6EE"/>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0"/>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9E"/>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C0B"/>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2CA"/>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301"/>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6ECF"/>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1A9E"/>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51"/>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0A4"/>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0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1D"/>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5D0"/>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3D9"/>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097093">
      <w:bodyDiv w:val="1"/>
      <w:marLeft w:val="0"/>
      <w:marRight w:val="0"/>
      <w:marTop w:val="0"/>
      <w:marBottom w:val="0"/>
      <w:divBdr>
        <w:top w:val="none" w:sz="0" w:space="0" w:color="auto"/>
        <w:left w:val="none" w:sz="0" w:space="0" w:color="auto"/>
        <w:bottom w:val="none" w:sz="0" w:space="0" w:color="auto"/>
        <w:right w:val="none" w:sz="0" w:space="0" w:color="auto"/>
      </w:divBdr>
      <w:divsChild>
        <w:div w:id="650406965">
          <w:marLeft w:val="547"/>
          <w:marRight w:val="0"/>
          <w:marTop w:val="86"/>
          <w:marBottom w:val="0"/>
          <w:divBdr>
            <w:top w:val="none" w:sz="0" w:space="0" w:color="auto"/>
            <w:left w:val="none" w:sz="0" w:space="0" w:color="auto"/>
            <w:bottom w:val="none" w:sz="0" w:space="0" w:color="auto"/>
            <w:right w:val="none" w:sz="0" w:space="0" w:color="auto"/>
          </w:divBdr>
        </w:div>
        <w:div w:id="1595357608">
          <w:marLeft w:val="1166"/>
          <w:marRight w:val="0"/>
          <w:marTop w:val="77"/>
          <w:marBottom w:val="0"/>
          <w:divBdr>
            <w:top w:val="none" w:sz="0" w:space="0" w:color="auto"/>
            <w:left w:val="none" w:sz="0" w:space="0" w:color="auto"/>
            <w:bottom w:val="none" w:sz="0" w:space="0" w:color="auto"/>
            <w:right w:val="none" w:sz="0" w:space="0" w:color="auto"/>
          </w:divBdr>
        </w:div>
        <w:div w:id="1606038920">
          <w:marLeft w:val="1166"/>
          <w:marRight w:val="0"/>
          <w:marTop w:val="77"/>
          <w:marBottom w:val="0"/>
          <w:divBdr>
            <w:top w:val="none" w:sz="0" w:space="0" w:color="auto"/>
            <w:left w:val="none" w:sz="0" w:space="0" w:color="auto"/>
            <w:bottom w:val="none" w:sz="0" w:space="0" w:color="auto"/>
            <w:right w:val="none" w:sz="0" w:space="0" w:color="auto"/>
          </w:divBdr>
        </w:div>
        <w:div w:id="30226744">
          <w:marLeft w:val="1166"/>
          <w:marRight w:val="0"/>
          <w:marTop w:val="77"/>
          <w:marBottom w:val="0"/>
          <w:divBdr>
            <w:top w:val="none" w:sz="0" w:space="0" w:color="auto"/>
            <w:left w:val="none" w:sz="0" w:space="0" w:color="auto"/>
            <w:bottom w:val="none" w:sz="0" w:space="0" w:color="auto"/>
            <w:right w:val="none" w:sz="0" w:space="0" w:color="auto"/>
          </w:divBdr>
        </w:div>
        <w:div w:id="822429818">
          <w:marLeft w:val="1627"/>
          <w:marRight w:val="0"/>
          <w:marTop w:val="67"/>
          <w:marBottom w:val="0"/>
          <w:divBdr>
            <w:top w:val="none" w:sz="0" w:space="0" w:color="auto"/>
            <w:left w:val="none" w:sz="0" w:space="0" w:color="auto"/>
            <w:bottom w:val="none" w:sz="0" w:space="0" w:color="auto"/>
            <w:right w:val="none" w:sz="0" w:space="0" w:color="auto"/>
          </w:divBdr>
        </w:div>
        <w:div w:id="1821922635">
          <w:marLeft w:val="1627"/>
          <w:marRight w:val="0"/>
          <w:marTop w:val="67"/>
          <w:marBottom w:val="0"/>
          <w:divBdr>
            <w:top w:val="none" w:sz="0" w:space="0" w:color="auto"/>
            <w:left w:val="none" w:sz="0" w:space="0" w:color="auto"/>
            <w:bottom w:val="none" w:sz="0" w:space="0" w:color="auto"/>
            <w:right w:val="none" w:sz="0" w:space="0" w:color="auto"/>
          </w:divBdr>
        </w:div>
        <w:div w:id="2128616315">
          <w:marLeft w:val="2074"/>
          <w:marRight w:val="0"/>
          <w:marTop w:val="58"/>
          <w:marBottom w:val="0"/>
          <w:divBdr>
            <w:top w:val="none" w:sz="0" w:space="0" w:color="auto"/>
            <w:left w:val="none" w:sz="0" w:space="0" w:color="auto"/>
            <w:bottom w:val="none" w:sz="0" w:space="0" w:color="auto"/>
            <w:right w:val="none" w:sz="0" w:space="0" w:color="auto"/>
          </w:divBdr>
        </w:div>
        <w:div w:id="1838688888">
          <w:marLeft w:val="2074"/>
          <w:marRight w:val="0"/>
          <w:marTop w:val="58"/>
          <w:marBottom w:val="0"/>
          <w:divBdr>
            <w:top w:val="none" w:sz="0" w:space="0" w:color="auto"/>
            <w:left w:val="none" w:sz="0" w:space="0" w:color="auto"/>
            <w:bottom w:val="none" w:sz="0" w:space="0" w:color="auto"/>
            <w:right w:val="none" w:sz="0" w:space="0" w:color="auto"/>
          </w:divBdr>
        </w:div>
        <w:div w:id="681736668">
          <w:marLeft w:val="547"/>
          <w:marRight w:val="0"/>
          <w:marTop w:val="86"/>
          <w:marBottom w:val="0"/>
          <w:divBdr>
            <w:top w:val="none" w:sz="0" w:space="0" w:color="auto"/>
            <w:left w:val="none" w:sz="0" w:space="0" w:color="auto"/>
            <w:bottom w:val="none" w:sz="0" w:space="0" w:color="auto"/>
            <w:right w:val="none" w:sz="0" w:space="0" w:color="auto"/>
          </w:divBdr>
        </w:div>
        <w:div w:id="1727872561">
          <w:marLeft w:val="1166"/>
          <w:marRight w:val="0"/>
          <w:marTop w:val="77"/>
          <w:marBottom w:val="0"/>
          <w:divBdr>
            <w:top w:val="none" w:sz="0" w:space="0" w:color="auto"/>
            <w:left w:val="none" w:sz="0" w:space="0" w:color="auto"/>
            <w:bottom w:val="none" w:sz="0" w:space="0" w:color="auto"/>
            <w:right w:val="none" w:sz="0" w:space="0" w:color="auto"/>
          </w:divBdr>
        </w:div>
        <w:div w:id="377508513">
          <w:marLeft w:val="1166"/>
          <w:marRight w:val="0"/>
          <w:marTop w:val="77"/>
          <w:marBottom w:val="0"/>
          <w:divBdr>
            <w:top w:val="none" w:sz="0" w:space="0" w:color="auto"/>
            <w:left w:val="none" w:sz="0" w:space="0" w:color="auto"/>
            <w:bottom w:val="none" w:sz="0" w:space="0" w:color="auto"/>
            <w:right w:val="none" w:sz="0" w:space="0" w:color="auto"/>
          </w:divBdr>
        </w:div>
        <w:div w:id="1654522064">
          <w:marLeft w:val="1627"/>
          <w:marRight w:val="0"/>
          <w:marTop w:val="67"/>
          <w:marBottom w:val="0"/>
          <w:divBdr>
            <w:top w:val="none" w:sz="0" w:space="0" w:color="auto"/>
            <w:left w:val="none" w:sz="0" w:space="0" w:color="auto"/>
            <w:bottom w:val="none" w:sz="0" w:space="0" w:color="auto"/>
            <w:right w:val="none" w:sz="0" w:space="0" w:color="auto"/>
          </w:divBdr>
        </w:div>
        <w:div w:id="1867063483">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HR33RHYHUWRF-4-13452</_dlc_DocId>
    <_dlc_DocIdUrl xmlns="c06861ca-3f08-4d07-bff7-bb15bac121f4">
      <Url>https://projects.qualcomm.com/sites/pentari/_layouts/15/DocIdRedir.aspx?ID=HR33RHYHUWRF-4-13452</Url>
      <Description>HR33RHYHUWRF-4-13452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8225E0C-5E15-4471-A2A4-DC1B08B7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5</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2019-05-04T02:24:00Z</dcterms:created>
  <dcterms:modified xsi:type="dcterms:W3CDTF">2019-05-04T02:24:00Z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014f6cb7-3bb9-48f5-8c6c-ac4f769d5726</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